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44AC76C" w14:textId="77777777" w:rsidTr="00F862D6">
        <w:tc>
          <w:tcPr>
            <w:tcW w:w="1020" w:type="dxa"/>
          </w:tcPr>
          <w:p w14:paraId="632B1000" w14:textId="77777777" w:rsidR="00F64786" w:rsidRPr="001A6F12" w:rsidRDefault="00F64786" w:rsidP="0077673A">
            <w:pPr>
              <w:rPr>
                <w:szCs w:val="14"/>
              </w:rPr>
            </w:pPr>
          </w:p>
        </w:tc>
        <w:tc>
          <w:tcPr>
            <w:tcW w:w="2552" w:type="dxa"/>
          </w:tcPr>
          <w:p w14:paraId="0611CE42" w14:textId="77777777" w:rsidR="00F64786" w:rsidRPr="001A6F12" w:rsidRDefault="00F64786" w:rsidP="0077673A">
            <w:pPr>
              <w:rPr>
                <w:szCs w:val="14"/>
              </w:rPr>
            </w:pPr>
          </w:p>
        </w:tc>
        <w:tc>
          <w:tcPr>
            <w:tcW w:w="823" w:type="dxa"/>
          </w:tcPr>
          <w:p w14:paraId="74226FEC" w14:textId="77777777" w:rsidR="00F64786" w:rsidRPr="001A6F12" w:rsidRDefault="00F64786" w:rsidP="0077673A">
            <w:pPr>
              <w:rPr>
                <w:szCs w:val="14"/>
              </w:rPr>
            </w:pPr>
          </w:p>
        </w:tc>
        <w:tc>
          <w:tcPr>
            <w:tcW w:w="3685" w:type="dxa"/>
          </w:tcPr>
          <w:p w14:paraId="682CA88B" w14:textId="77777777" w:rsidR="00F64786" w:rsidRPr="001A6F12" w:rsidRDefault="00F64786" w:rsidP="0077673A">
            <w:pPr>
              <w:rPr>
                <w:szCs w:val="14"/>
              </w:rPr>
            </w:pPr>
          </w:p>
        </w:tc>
      </w:tr>
      <w:tr w:rsidR="00F862D6" w:rsidRPr="001A6F12" w14:paraId="3C6DD9DC" w14:textId="77777777" w:rsidTr="00596C7E">
        <w:tc>
          <w:tcPr>
            <w:tcW w:w="1020" w:type="dxa"/>
          </w:tcPr>
          <w:p w14:paraId="13D1356E" w14:textId="77777777" w:rsidR="00F862D6" w:rsidRPr="001A6F12" w:rsidRDefault="00F862D6" w:rsidP="0077673A">
            <w:pPr>
              <w:rPr>
                <w:szCs w:val="14"/>
              </w:rPr>
            </w:pPr>
          </w:p>
        </w:tc>
        <w:tc>
          <w:tcPr>
            <w:tcW w:w="2552" w:type="dxa"/>
          </w:tcPr>
          <w:p w14:paraId="5BFB8378" w14:textId="77777777" w:rsidR="00F862D6" w:rsidRPr="001A6F12" w:rsidRDefault="00F862D6" w:rsidP="00764595">
            <w:pPr>
              <w:rPr>
                <w:szCs w:val="14"/>
              </w:rPr>
            </w:pPr>
          </w:p>
        </w:tc>
        <w:tc>
          <w:tcPr>
            <w:tcW w:w="823" w:type="dxa"/>
          </w:tcPr>
          <w:p w14:paraId="5AEF6982" w14:textId="77777777" w:rsidR="00F862D6" w:rsidRPr="001A6F12" w:rsidRDefault="00F862D6" w:rsidP="0077673A">
            <w:pPr>
              <w:rPr>
                <w:szCs w:val="14"/>
              </w:rPr>
            </w:pPr>
          </w:p>
        </w:tc>
        <w:tc>
          <w:tcPr>
            <w:tcW w:w="3685" w:type="dxa"/>
            <w:vMerge w:val="restart"/>
          </w:tcPr>
          <w:p w14:paraId="2DAF950B" w14:textId="77777777" w:rsidR="00596C7E" w:rsidRPr="001A6F12" w:rsidRDefault="00596C7E" w:rsidP="00596C7E">
            <w:pPr>
              <w:rPr>
                <w:rStyle w:val="Potovnadresa"/>
                <w:sz w:val="14"/>
                <w:szCs w:val="14"/>
              </w:rPr>
            </w:pPr>
          </w:p>
          <w:p w14:paraId="43F5814A" w14:textId="77777777" w:rsidR="00F862D6" w:rsidRPr="00C101EB" w:rsidRDefault="00C101EB" w:rsidP="00596C7E">
            <w:pPr>
              <w:rPr>
                <w:rStyle w:val="Potovnadresa"/>
                <w:b/>
                <w:sz w:val="14"/>
                <w:szCs w:val="14"/>
              </w:rPr>
            </w:pPr>
            <w:r w:rsidRPr="00C101EB">
              <w:rPr>
                <w:rStyle w:val="Potovnadresa"/>
                <w:b/>
                <w:szCs w:val="14"/>
              </w:rPr>
              <w:t>Prostřednictvím E-ZAK</w:t>
            </w:r>
          </w:p>
        </w:tc>
      </w:tr>
      <w:tr w:rsidR="003648AC" w:rsidRPr="001A6F12" w14:paraId="0F8B9C1F" w14:textId="77777777" w:rsidTr="00F862D6">
        <w:tc>
          <w:tcPr>
            <w:tcW w:w="1020" w:type="dxa"/>
          </w:tcPr>
          <w:p w14:paraId="5D4BAEED" w14:textId="77777777" w:rsidR="003648AC" w:rsidRPr="001A6F12" w:rsidRDefault="003648AC" w:rsidP="003648AC">
            <w:pPr>
              <w:rPr>
                <w:szCs w:val="14"/>
              </w:rPr>
            </w:pPr>
            <w:r w:rsidRPr="001A6F12">
              <w:rPr>
                <w:szCs w:val="14"/>
              </w:rPr>
              <w:t>Naše zn.</w:t>
            </w:r>
          </w:p>
        </w:tc>
        <w:tc>
          <w:tcPr>
            <w:tcW w:w="2552" w:type="dxa"/>
          </w:tcPr>
          <w:p w14:paraId="3B82AA6A" w14:textId="521436C3" w:rsidR="003648AC" w:rsidRPr="00AA4966" w:rsidRDefault="00931CA3" w:rsidP="003648AC">
            <w:pPr>
              <w:rPr>
                <w:szCs w:val="14"/>
                <w:highlight w:val="magenta"/>
              </w:rPr>
            </w:pPr>
            <w:r w:rsidRPr="00931CA3">
              <w:rPr>
                <w:rFonts w:ascii="Helvetica" w:hAnsi="Helvetica" w:cs="Helvetica"/>
              </w:rPr>
              <w:t>8651/2021-SŽ-SSV-Ú3</w:t>
            </w:r>
          </w:p>
        </w:tc>
        <w:tc>
          <w:tcPr>
            <w:tcW w:w="823" w:type="dxa"/>
          </w:tcPr>
          <w:p w14:paraId="1ED08910" w14:textId="77777777" w:rsidR="003648AC" w:rsidRPr="001A6F12" w:rsidRDefault="003648AC" w:rsidP="003648AC">
            <w:pPr>
              <w:rPr>
                <w:szCs w:val="14"/>
              </w:rPr>
            </w:pPr>
          </w:p>
        </w:tc>
        <w:tc>
          <w:tcPr>
            <w:tcW w:w="3685" w:type="dxa"/>
            <w:vMerge/>
          </w:tcPr>
          <w:p w14:paraId="4126FB83" w14:textId="77777777" w:rsidR="003648AC" w:rsidRPr="001A6F12" w:rsidRDefault="003648AC" w:rsidP="003648AC">
            <w:pPr>
              <w:rPr>
                <w:szCs w:val="14"/>
              </w:rPr>
            </w:pPr>
          </w:p>
        </w:tc>
      </w:tr>
      <w:tr w:rsidR="003648AC" w:rsidRPr="001A6F12" w14:paraId="6FD66DA4" w14:textId="77777777" w:rsidTr="00F862D6">
        <w:tc>
          <w:tcPr>
            <w:tcW w:w="1020" w:type="dxa"/>
          </w:tcPr>
          <w:p w14:paraId="79F10855" w14:textId="77777777" w:rsidR="003648AC" w:rsidRPr="004703D0" w:rsidRDefault="003648AC" w:rsidP="003648AC">
            <w:pPr>
              <w:rPr>
                <w:szCs w:val="14"/>
              </w:rPr>
            </w:pPr>
            <w:r w:rsidRPr="004703D0">
              <w:rPr>
                <w:szCs w:val="14"/>
              </w:rPr>
              <w:t>Listů/příloh</w:t>
            </w:r>
          </w:p>
        </w:tc>
        <w:tc>
          <w:tcPr>
            <w:tcW w:w="2552" w:type="dxa"/>
          </w:tcPr>
          <w:p w14:paraId="2ED99220" w14:textId="17D9BCF4" w:rsidR="003648AC" w:rsidRPr="004703D0" w:rsidRDefault="003648AC" w:rsidP="003648AC">
            <w:pPr>
              <w:rPr>
                <w:szCs w:val="14"/>
              </w:rPr>
            </w:pPr>
            <w:r>
              <w:t>1</w:t>
            </w:r>
            <w:r w:rsidRPr="003E6B9A">
              <w:t>/0</w:t>
            </w:r>
          </w:p>
        </w:tc>
        <w:tc>
          <w:tcPr>
            <w:tcW w:w="823" w:type="dxa"/>
          </w:tcPr>
          <w:p w14:paraId="6BC7A92B" w14:textId="77777777" w:rsidR="003648AC" w:rsidRPr="001A6F12" w:rsidRDefault="003648AC" w:rsidP="003648AC">
            <w:pPr>
              <w:rPr>
                <w:szCs w:val="14"/>
              </w:rPr>
            </w:pPr>
          </w:p>
        </w:tc>
        <w:tc>
          <w:tcPr>
            <w:tcW w:w="3685" w:type="dxa"/>
            <w:vMerge/>
          </w:tcPr>
          <w:p w14:paraId="65B1C4C4" w14:textId="77777777" w:rsidR="003648AC" w:rsidRPr="001A6F12" w:rsidRDefault="003648AC" w:rsidP="003648AC">
            <w:pPr>
              <w:rPr>
                <w:noProof/>
                <w:szCs w:val="14"/>
              </w:rPr>
            </w:pPr>
          </w:p>
        </w:tc>
      </w:tr>
      <w:tr w:rsidR="003648AC" w:rsidRPr="001A6F12" w14:paraId="113D7397" w14:textId="77777777" w:rsidTr="00B23CA3">
        <w:trPr>
          <w:trHeight w:val="77"/>
        </w:trPr>
        <w:tc>
          <w:tcPr>
            <w:tcW w:w="1020" w:type="dxa"/>
          </w:tcPr>
          <w:p w14:paraId="10390FA3" w14:textId="77777777" w:rsidR="003648AC" w:rsidRPr="001A6F12" w:rsidRDefault="003648AC" w:rsidP="003648AC">
            <w:pPr>
              <w:rPr>
                <w:szCs w:val="14"/>
              </w:rPr>
            </w:pPr>
          </w:p>
        </w:tc>
        <w:tc>
          <w:tcPr>
            <w:tcW w:w="2552" w:type="dxa"/>
          </w:tcPr>
          <w:p w14:paraId="781998C8" w14:textId="77777777" w:rsidR="003648AC" w:rsidRPr="001A6F12" w:rsidRDefault="003648AC" w:rsidP="003648AC">
            <w:pPr>
              <w:rPr>
                <w:szCs w:val="14"/>
              </w:rPr>
            </w:pPr>
          </w:p>
        </w:tc>
        <w:tc>
          <w:tcPr>
            <w:tcW w:w="823" w:type="dxa"/>
          </w:tcPr>
          <w:p w14:paraId="0907362F" w14:textId="77777777" w:rsidR="003648AC" w:rsidRPr="001A6F12" w:rsidRDefault="003648AC" w:rsidP="003648AC">
            <w:pPr>
              <w:rPr>
                <w:szCs w:val="14"/>
              </w:rPr>
            </w:pPr>
          </w:p>
        </w:tc>
        <w:tc>
          <w:tcPr>
            <w:tcW w:w="3685" w:type="dxa"/>
            <w:vMerge/>
          </w:tcPr>
          <w:p w14:paraId="74B6508F" w14:textId="77777777" w:rsidR="003648AC" w:rsidRPr="001A6F12" w:rsidRDefault="003648AC" w:rsidP="003648AC">
            <w:pPr>
              <w:rPr>
                <w:szCs w:val="14"/>
              </w:rPr>
            </w:pPr>
          </w:p>
        </w:tc>
      </w:tr>
      <w:tr w:rsidR="003648AC" w:rsidRPr="001A6F12" w14:paraId="2AEC0BD3" w14:textId="77777777" w:rsidTr="00F862D6">
        <w:tc>
          <w:tcPr>
            <w:tcW w:w="1020" w:type="dxa"/>
          </w:tcPr>
          <w:p w14:paraId="7D882239" w14:textId="77777777" w:rsidR="003648AC" w:rsidRPr="001A6F12" w:rsidRDefault="003648AC" w:rsidP="003648AC">
            <w:pPr>
              <w:rPr>
                <w:szCs w:val="14"/>
              </w:rPr>
            </w:pPr>
            <w:r w:rsidRPr="001A6F12">
              <w:rPr>
                <w:szCs w:val="14"/>
              </w:rPr>
              <w:t>Vyřizuje</w:t>
            </w:r>
          </w:p>
        </w:tc>
        <w:tc>
          <w:tcPr>
            <w:tcW w:w="2552" w:type="dxa"/>
          </w:tcPr>
          <w:p w14:paraId="6A95D1A7" w14:textId="08D58BD3" w:rsidR="003648AC" w:rsidRPr="001A6F12" w:rsidRDefault="003648AC" w:rsidP="003648AC">
            <w:pPr>
              <w:rPr>
                <w:szCs w:val="14"/>
              </w:rPr>
            </w:pPr>
            <w:r w:rsidRPr="006F7BE2">
              <w:t>Ing. Radomíra Rečková</w:t>
            </w:r>
          </w:p>
        </w:tc>
        <w:tc>
          <w:tcPr>
            <w:tcW w:w="823" w:type="dxa"/>
          </w:tcPr>
          <w:p w14:paraId="1098D1B5" w14:textId="77777777" w:rsidR="003648AC" w:rsidRPr="001A6F12" w:rsidRDefault="003648AC" w:rsidP="003648AC">
            <w:pPr>
              <w:rPr>
                <w:szCs w:val="14"/>
              </w:rPr>
            </w:pPr>
          </w:p>
        </w:tc>
        <w:tc>
          <w:tcPr>
            <w:tcW w:w="3685" w:type="dxa"/>
            <w:vMerge/>
          </w:tcPr>
          <w:p w14:paraId="51B1BEA8" w14:textId="77777777" w:rsidR="003648AC" w:rsidRPr="001A6F12" w:rsidRDefault="003648AC" w:rsidP="003648AC">
            <w:pPr>
              <w:rPr>
                <w:szCs w:val="14"/>
              </w:rPr>
            </w:pPr>
          </w:p>
        </w:tc>
      </w:tr>
      <w:tr w:rsidR="003648AC" w:rsidRPr="001A6F12" w14:paraId="5C51FAD6" w14:textId="77777777" w:rsidTr="00F862D6">
        <w:tc>
          <w:tcPr>
            <w:tcW w:w="1020" w:type="dxa"/>
          </w:tcPr>
          <w:p w14:paraId="3C8E5A7F" w14:textId="77777777" w:rsidR="003648AC" w:rsidRPr="001A6F12" w:rsidRDefault="003648AC" w:rsidP="003648AC">
            <w:pPr>
              <w:rPr>
                <w:szCs w:val="14"/>
              </w:rPr>
            </w:pPr>
          </w:p>
        </w:tc>
        <w:tc>
          <w:tcPr>
            <w:tcW w:w="2552" w:type="dxa"/>
          </w:tcPr>
          <w:p w14:paraId="3C32807F" w14:textId="77777777" w:rsidR="003648AC" w:rsidRPr="001A6F12" w:rsidRDefault="003648AC" w:rsidP="003648AC">
            <w:pPr>
              <w:rPr>
                <w:szCs w:val="14"/>
              </w:rPr>
            </w:pPr>
          </w:p>
        </w:tc>
        <w:tc>
          <w:tcPr>
            <w:tcW w:w="823" w:type="dxa"/>
          </w:tcPr>
          <w:p w14:paraId="7878511D" w14:textId="77777777" w:rsidR="003648AC" w:rsidRPr="001A6F12" w:rsidRDefault="003648AC" w:rsidP="003648AC">
            <w:pPr>
              <w:rPr>
                <w:szCs w:val="14"/>
              </w:rPr>
            </w:pPr>
          </w:p>
        </w:tc>
        <w:tc>
          <w:tcPr>
            <w:tcW w:w="3685" w:type="dxa"/>
            <w:vMerge/>
          </w:tcPr>
          <w:p w14:paraId="3ACCC297" w14:textId="77777777" w:rsidR="003648AC" w:rsidRPr="001A6F12" w:rsidRDefault="003648AC" w:rsidP="003648AC">
            <w:pPr>
              <w:rPr>
                <w:szCs w:val="14"/>
              </w:rPr>
            </w:pPr>
          </w:p>
        </w:tc>
      </w:tr>
      <w:tr w:rsidR="003648AC" w:rsidRPr="001A6F12" w14:paraId="38ABA41F" w14:textId="77777777" w:rsidTr="00F862D6">
        <w:tc>
          <w:tcPr>
            <w:tcW w:w="1020" w:type="dxa"/>
          </w:tcPr>
          <w:p w14:paraId="5010D7BB" w14:textId="77777777" w:rsidR="003648AC" w:rsidRPr="001A6F12" w:rsidRDefault="003648AC" w:rsidP="003648AC">
            <w:pPr>
              <w:rPr>
                <w:szCs w:val="14"/>
              </w:rPr>
            </w:pPr>
            <w:r w:rsidRPr="001A6F12">
              <w:rPr>
                <w:szCs w:val="14"/>
              </w:rPr>
              <w:t>Mobil</w:t>
            </w:r>
          </w:p>
        </w:tc>
        <w:tc>
          <w:tcPr>
            <w:tcW w:w="2552" w:type="dxa"/>
          </w:tcPr>
          <w:p w14:paraId="313101AB" w14:textId="5C8C3A8B" w:rsidR="003648AC" w:rsidRPr="001A6F12" w:rsidRDefault="003648AC" w:rsidP="003648AC">
            <w:pPr>
              <w:rPr>
                <w:szCs w:val="14"/>
              </w:rPr>
            </w:pPr>
            <w:r>
              <w:t>+420 725 744 197</w:t>
            </w:r>
          </w:p>
        </w:tc>
        <w:tc>
          <w:tcPr>
            <w:tcW w:w="823" w:type="dxa"/>
          </w:tcPr>
          <w:p w14:paraId="4019C3B4" w14:textId="77777777" w:rsidR="003648AC" w:rsidRPr="001A6F12" w:rsidRDefault="003648AC" w:rsidP="003648AC">
            <w:pPr>
              <w:rPr>
                <w:szCs w:val="14"/>
              </w:rPr>
            </w:pPr>
          </w:p>
        </w:tc>
        <w:tc>
          <w:tcPr>
            <w:tcW w:w="3685" w:type="dxa"/>
            <w:vMerge/>
          </w:tcPr>
          <w:p w14:paraId="3775AE47" w14:textId="77777777" w:rsidR="003648AC" w:rsidRPr="001A6F12" w:rsidRDefault="003648AC" w:rsidP="003648AC">
            <w:pPr>
              <w:rPr>
                <w:szCs w:val="14"/>
              </w:rPr>
            </w:pPr>
          </w:p>
        </w:tc>
      </w:tr>
      <w:tr w:rsidR="003648AC" w:rsidRPr="001A6F12" w14:paraId="1BA8205A" w14:textId="77777777" w:rsidTr="00F862D6">
        <w:tc>
          <w:tcPr>
            <w:tcW w:w="1020" w:type="dxa"/>
          </w:tcPr>
          <w:p w14:paraId="2BC41A4C" w14:textId="77777777" w:rsidR="003648AC" w:rsidRPr="001A6F12" w:rsidRDefault="003648AC" w:rsidP="003648AC">
            <w:pPr>
              <w:rPr>
                <w:szCs w:val="14"/>
              </w:rPr>
            </w:pPr>
            <w:r w:rsidRPr="001A6F12">
              <w:rPr>
                <w:szCs w:val="14"/>
              </w:rPr>
              <w:t>E-mail</w:t>
            </w:r>
          </w:p>
        </w:tc>
        <w:tc>
          <w:tcPr>
            <w:tcW w:w="2552" w:type="dxa"/>
          </w:tcPr>
          <w:p w14:paraId="1D3191B4" w14:textId="70A4ABEA" w:rsidR="003648AC" w:rsidRPr="001A6F12" w:rsidRDefault="003648AC" w:rsidP="003648AC">
            <w:pPr>
              <w:rPr>
                <w:szCs w:val="14"/>
              </w:rPr>
            </w:pPr>
            <w:r w:rsidRPr="00C950F0">
              <w:t>Reckova@spravazeleznic.cz</w:t>
            </w:r>
          </w:p>
        </w:tc>
        <w:tc>
          <w:tcPr>
            <w:tcW w:w="823" w:type="dxa"/>
          </w:tcPr>
          <w:p w14:paraId="11AF73CB" w14:textId="77777777" w:rsidR="003648AC" w:rsidRPr="001A6F12" w:rsidRDefault="003648AC" w:rsidP="003648AC">
            <w:pPr>
              <w:rPr>
                <w:szCs w:val="14"/>
              </w:rPr>
            </w:pPr>
          </w:p>
        </w:tc>
        <w:tc>
          <w:tcPr>
            <w:tcW w:w="3685" w:type="dxa"/>
            <w:vMerge/>
          </w:tcPr>
          <w:p w14:paraId="12F9FE94" w14:textId="77777777" w:rsidR="003648AC" w:rsidRPr="001A6F12" w:rsidRDefault="003648AC" w:rsidP="003648AC">
            <w:pPr>
              <w:rPr>
                <w:szCs w:val="14"/>
              </w:rPr>
            </w:pPr>
          </w:p>
        </w:tc>
      </w:tr>
      <w:tr w:rsidR="009A7568" w:rsidRPr="001A6F12" w14:paraId="5A3DC602" w14:textId="77777777" w:rsidTr="00F862D6">
        <w:tc>
          <w:tcPr>
            <w:tcW w:w="1020" w:type="dxa"/>
          </w:tcPr>
          <w:p w14:paraId="1BEDD319" w14:textId="77777777" w:rsidR="009A7568" w:rsidRPr="001A6F12" w:rsidRDefault="009A7568" w:rsidP="009A7568">
            <w:pPr>
              <w:rPr>
                <w:szCs w:val="14"/>
              </w:rPr>
            </w:pPr>
          </w:p>
        </w:tc>
        <w:tc>
          <w:tcPr>
            <w:tcW w:w="2552" w:type="dxa"/>
          </w:tcPr>
          <w:p w14:paraId="0DC8149E" w14:textId="77777777" w:rsidR="009A7568" w:rsidRPr="001A6F12" w:rsidRDefault="009A7568" w:rsidP="009A7568">
            <w:pPr>
              <w:rPr>
                <w:szCs w:val="14"/>
              </w:rPr>
            </w:pPr>
          </w:p>
        </w:tc>
        <w:tc>
          <w:tcPr>
            <w:tcW w:w="823" w:type="dxa"/>
          </w:tcPr>
          <w:p w14:paraId="4FCB9D28" w14:textId="77777777" w:rsidR="009A7568" w:rsidRPr="001A6F12" w:rsidRDefault="009A7568" w:rsidP="009A7568">
            <w:pPr>
              <w:rPr>
                <w:szCs w:val="14"/>
              </w:rPr>
            </w:pPr>
          </w:p>
        </w:tc>
        <w:tc>
          <w:tcPr>
            <w:tcW w:w="3685" w:type="dxa"/>
          </w:tcPr>
          <w:p w14:paraId="5158E45E" w14:textId="77777777" w:rsidR="009A7568" w:rsidRPr="001A6F12" w:rsidRDefault="009A7568" w:rsidP="009A7568">
            <w:pPr>
              <w:rPr>
                <w:szCs w:val="14"/>
              </w:rPr>
            </w:pPr>
          </w:p>
        </w:tc>
      </w:tr>
      <w:tr w:rsidR="009A7568" w:rsidRPr="001A6F12" w14:paraId="5A3740B3" w14:textId="77777777" w:rsidTr="00F862D6">
        <w:tc>
          <w:tcPr>
            <w:tcW w:w="1020" w:type="dxa"/>
          </w:tcPr>
          <w:p w14:paraId="0EE22F18" w14:textId="77777777" w:rsidR="009A7568" w:rsidRPr="001A6F12" w:rsidRDefault="009A7568" w:rsidP="009A7568">
            <w:pPr>
              <w:rPr>
                <w:szCs w:val="14"/>
              </w:rPr>
            </w:pPr>
            <w:r w:rsidRPr="001A6F12">
              <w:rPr>
                <w:szCs w:val="14"/>
              </w:rPr>
              <w:t>Datum</w:t>
            </w:r>
          </w:p>
        </w:tc>
        <w:bookmarkStart w:id="0" w:name="Datum"/>
        <w:tc>
          <w:tcPr>
            <w:tcW w:w="2552" w:type="dxa"/>
          </w:tcPr>
          <w:p w14:paraId="16356292" w14:textId="55FA3581"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F468E">
              <w:rPr>
                <w:noProof/>
                <w:szCs w:val="14"/>
              </w:rPr>
              <w:t>31. května 2021</w:t>
            </w:r>
            <w:r w:rsidRPr="001A6F12">
              <w:rPr>
                <w:szCs w:val="14"/>
              </w:rPr>
              <w:fldChar w:fldCharType="end"/>
            </w:r>
            <w:r w:rsidRPr="001A6F12">
              <w:rPr>
                <w:szCs w:val="14"/>
              </w:rPr>
              <w:t xml:space="preserve"> </w:t>
            </w:r>
            <w:bookmarkEnd w:id="0"/>
          </w:p>
        </w:tc>
        <w:tc>
          <w:tcPr>
            <w:tcW w:w="823" w:type="dxa"/>
          </w:tcPr>
          <w:p w14:paraId="19132D05" w14:textId="77777777" w:rsidR="009A7568" w:rsidRPr="001A6F12" w:rsidRDefault="009A7568" w:rsidP="009A7568">
            <w:pPr>
              <w:rPr>
                <w:szCs w:val="14"/>
              </w:rPr>
            </w:pPr>
          </w:p>
        </w:tc>
        <w:tc>
          <w:tcPr>
            <w:tcW w:w="3685" w:type="dxa"/>
          </w:tcPr>
          <w:p w14:paraId="0FB2D237" w14:textId="77777777" w:rsidR="009A7568" w:rsidRPr="001A6F12" w:rsidRDefault="009A7568" w:rsidP="009A7568">
            <w:pPr>
              <w:rPr>
                <w:szCs w:val="14"/>
              </w:rPr>
            </w:pPr>
          </w:p>
        </w:tc>
      </w:tr>
      <w:tr w:rsidR="00F64786" w:rsidRPr="001A6F12" w14:paraId="5CA437C5" w14:textId="77777777" w:rsidTr="00F862D6">
        <w:tc>
          <w:tcPr>
            <w:tcW w:w="1020" w:type="dxa"/>
          </w:tcPr>
          <w:p w14:paraId="14BA0020" w14:textId="77777777" w:rsidR="00F64786" w:rsidRPr="001A6F12" w:rsidRDefault="00F64786" w:rsidP="0077673A">
            <w:pPr>
              <w:rPr>
                <w:szCs w:val="14"/>
              </w:rPr>
            </w:pPr>
          </w:p>
        </w:tc>
        <w:tc>
          <w:tcPr>
            <w:tcW w:w="2552" w:type="dxa"/>
          </w:tcPr>
          <w:p w14:paraId="3EA39115" w14:textId="77777777" w:rsidR="00F64786" w:rsidRPr="001A6F12" w:rsidRDefault="00F64786" w:rsidP="00F310F8">
            <w:pPr>
              <w:rPr>
                <w:szCs w:val="14"/>
                <w:highlight w:val="yellow"/>
              </w:rPr>
            </w:pPr>
          </w:p>
        </w:tc>
        <w:tc>
          <w:tcPr>
            <w:tcW w:w="823" w:type="dxa"/>
          </w:tcPr>
          <w:p w14:paraId="2401BB15" w14:textId="77777777" w:rsidR="00F64786" w:rsidRPr="001A6F12" w:rsidRDefault="00F64786" w:rsidP="0077673A">
            <w:pPr>
              <w:rPr>
                <w:szCs w:val="14"/>
              </w:rPr>
            </w:pPr>
          </w:p>
        </w:tc>
        <w:tc>
          <w:tcPr>
            <w:tcW w:w="3685" w:type="dxa"/>
          </w:tcPr>
          <w:p w14:paraId="7172D00B" w14:textId="77777777" w:rsidR="00F64786" w:rsidRPr="001A6F12" w:rsidRDefault="00F64786" w:rsidP="0077673A">
            <w:pPr>
              <w:rPr>
                <w:szCs w:val="14"/>
              </w:rPr>
            </w:pPr>
          </w:p>
        </w:tc>
      </w:tr>
      <w:tr w:rsidR="00F862D6" w:rsidRPr="001A6F12" w14:paraId="733D1340" w14:textId="77777777" w:rsidTr="00B45E9E">
        <w:trPr>
          <w:trHeight w:val="794"/>
        </w:trPr>
        <w:tc>
          <w:tcPr>
            <w:tcW w:w="1020" w:type="dxa"/>
          </w:tcPr>
          <w:p w14:paraId="22FC717C" w14:textId="77777777" w:rsidR="00F862D6" w:rsidRPr="001A6F12" w:rsidRDefault="00F862D6" w:rsidP="0077673A">
            <w:pPr>
              <w:rPr>
                <w:szCs w:val="14"/>
              </w:rPr>
            </w:pPr>
          </w:p>
        </w:tc>
        <w:tc>
          <w:tcPr>
            <w:tcW w:w="2552" w:type="dxa"/>
          </w:tcPr>
          <w:p w14:paraId="499A719F" w14:textId="77777777" w:rsidR="00F862D6" w:rsidRPr="001A6F12" w:rsidRDefault="00F862D6" w:rsidP="00F310F8">
            <w:pPr>
              <w:rPr>
                <w:szCs w:val="14"/>
              </w:rPr>
            </w:pPr>
          </w:p>
        </w:tc>
        <w:tc>
          <w:tcPr>
            <w:tcW w:w="823" w:type="dxa"/>
          </w:tcPr>
          <w:p w14:paraId="4505B6DB" w14:textId="77777777" w:rsidR="00F862D6" w:rsidRPr="001A6F12" w:rsidRDefault="00F862D6" w:rsidP="0077673A">
            <w:pPr>
              <w:rPr>
                <w:szCs w:val="14"/>
              </w:rPr>
            </w:pPr>
          </w:p>
        </w:tc>
        <w:tc>
          <w:tcPr>
            <w:tcW w:w="3685" w:type="dxa"/>
          </w:tcPr>
          <w:p w14:paraId="0744BE16" w14:textId="77777777" w:rsidR="00F862D6" w:rsidRPr="001A6F12" w:rsidRDefault="00F862D6" w:rsidP="0077673A">
            <w:pPr>
              <w:rPr>
                <w:szCs w:val="14"/>
              </w:rPr>
            </w:pPr>
          </w:p>
        </w:tc>
      </w:tr>
    </w:tbl>
    <w:p w14:paraId="09188679"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CEB8C21" w14:textId="77777777" w:rsidR="001A6F12" w:rsidRPr="001A6F12" w:rsidRDefault="001A6F12" w:rsidP="001A6F12">
      <w:pPr>
        <w:spacing w:after="0" w:line="240" w:lineRule="auto"/>
        <w:ind w:left="567" w:hanging="567"/>
        <w:rPr>
          <w:rFonts w:eastAsia="Times New Roman" w:cs="Times New Roman"/>
          <w:b/>
          <w:lang w:eastAsia="cs-CZ"/>
        </w:rPr>
      </w:pPr>
    </w:p>
    <w:p w14:paraId="436B7BFF" w14:textId="77777777" w:rsidR="001A6F12" w:rsidRPr="001A6F12" w:rsidRDefault="001A6F12" w:rsidP="001A6F12">
      <w:pPr>
        <w:spacing w:after="0" w:line="240" w:lineRule="auto"/>
        <w:ind w:left="567" w:hanging="567"/>
        <w:rPr>
          <w:rFonts w:eastAsia="Times New Roman" w:cs="Times New Roman"/>
          <w:b/>
          <w:lang w:eastAsia="cs-CZ"/>
        </w:rPr>
      </w:pPr>
    </w:p>
    <w:p w14:paraId="0D80AD59"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C86DC4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7CBDDC1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AB277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p>
    <w:p w14:paraId="6F145135" w14:textId="77777777" w:rsidR="003648AC" w:rsidRDefault="003648AC" w:rsidP="00715AF8">
      <w:pPr>
        <w:widowControl w:val="0"/>
        <w:autoSpaceDE w:val="0"/>
        <w:autoSpaceDN w:val="0"/>
        <w:spacing w:after="0" w:line="240" w:lineRule="auto"/>
        <w:rPr>
          <w:rFonts w:eastAsia="Times New Roman" w:cs="Times New Roman"/>
          <w:b/>
          <w:color w:val="000000"/>
          <w:lang w:eastAsia="cs-CZ"/>
        </w:rPr>
      </w:pPr>
    </w:p>
    <w:p w14:paraId="7FE19233" w14:textId="77777777" w:rsidR="003648AC" w:rsidRDefault="003648AC" w:rsidP="00715AF8">
      <w:pPr>
        <w:widowControl w:val="0"/>
        <w:autoSpaceDE w:val="0"/>
        <w:autoSpaceDN w:val="0"/>
        <w:spacing w:after="0" w:line="240" w:lineRule="auto"/>
        <w:rPr>
          <w:rFonts w:eastAsia="Times New Roman" w:cs="Times New Roman"/>
          <w:b/>
          <w:color w:val="000000"/>
          <w:lang w:eastAsia="cs-CZ"/>
        </w:rPr>
      </w:pPr>
      <w:r w:rsidRPr="003648AC">
        <w:rPr>
          <w:rFonts w:eastAsia="Times New Roman" w:cs="Times New Roman"/>
          <w:b/>
          <w:color w:val="000000"/>
          <w:lang w:eastAsia="cs-CZ"/>
        </w:rPr>
        <w:t>Soubor 4 staveb:</w:t>
      </w:r>
    </w:p>
    <w:p w14:paraId="4BAF2027" w14:textId="27B9042A" w:rsidR="00715AF8" w:rsidRPr="00715AF8" w:rsidRDefault="003648AC" w:rsidP="00715AF8">
      <w:pPr>
        <w:widowControl w:val="0"/>
        <w:autoSpaceDE w:val="0"/>
        <w:autoSpaceDN w:val="0"/>
        <w:spacing w:after="0" w:line="240" w:lineRule="auto"/>
        <w:rPr>
          <w:rFonts w:eastAsia="Times New Roman" w:cs="Times New Roman"/>
          <w:b/>
          <w:color w:val="000000"/>
          <w:lang w:eastAsia="cs-CZ"/>
        </w:rPr>
      </w:pPr>
      <w:r>
        <w:rPr>
          <w:rFonts w:eastAsia="Times New Roman" w:cs="Times New Roman"/>
          <w:b/>
          <w:color w:val="000000"/>
          <w:lang w:eastAsia="cs-CZ"/>
        </w:rPr>
        <w:t>A:</w:t>
      </w:r>
      <w:r w:rsidR="00715AF8" w:rsidRPr="00715AF8">
        <w:rPr>
          <w:rFonts w:eastAsia="Times New Roman" w:cs="Times New Roman"/>
          <w:b/>
          <w:color w:val="000000"/>
          <w:lang w:eastAsia="cs-CZ"/>
        </w:rPr>
        <w:t xml:space="preserve"> „</w:t>
      </w:r>
      <w:r w:rsidRPr="003648AC">
        <w:rPr>
          <w:rFonts w:eastAsia="Times New Roman" w:cs="Times New Roman"/>
          <w:b/>
          <w:color w:val="000000"/>
          <w:lang w:eastAsia="cs-CZ"/>
        </w:rPr>
        <w:t>Doplnění závor na PZS (P4318) v km 43,491 TÚ Hanušovice – Mikulovice</w:t>
      </w:r>
      <w:r w:rsidR="00715AF8" w:rsidRPr="00715AF8">
        <w:rPr>
          <w:rFonts w:eastAsia="Times New Roman" w:cs="Times New Roman"/>
          <w:b/>
          <w:color w:val="000000"/>
          <w:lang w:eastAsia="cs-CZ"/>
        </w:rPr>
        <w:t>“</w:t>
      </w:r>
      <w:r w:rsidR="00FF0DEB">
        <w:rPr>
          <w:rFonts w:eastAsia="Times New Roman" w:cs="Times New Roman"/>
          <w:b/>
          <w:color w:val="000000"/>
          <w:lang w:eastAsia="cs-CZ"/>
        </w:rPr>
        <w:t xml:space="preserve">, </w:t>
      </w:r>
    </w:p>
    <w:p w14:paraId="18715156" w14:textId="68AAC09D" w:rsidR="00715AF8" w:rsidRPr="00715AF8"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B</w:t>
      </w:r>
      <w:r w:rsidR="003648AC">
        <w:rPr>
          <w:rFonts w:eastAsia="Times New Roman" w:cs="Times New Roman"/>
          <w:b/>
          <w:color w:val="000000"/>
          <w:lang w:eastAsia="cs-CZ"/>
        </w:rPr>
        <w:t>:</w:t>
      </w:r>
      <w:r w:rsidRPr="00715AF8">
        <w:rPr>
          <w:rFonts w:eastAsia="Times New Roman" w:cs="Times New Roman"/>
          <w:b/>
          <w:color w:val="000000"/>
          <w:lang w:eastAsia="cs-CZ"/>
        </w:rPr>
        <w:t xml:space="preserve"> „</w:t>
      </w:r>
      <w:r w:rsidR="003648AC" w:rsidRPr="003B2E8F">
        <w:rPr>
          <w:b/>
        </w:rPr>
        <w:t>Doplnění závor na PZS (P4325) v km 49,079 TÚ Hanušovice – Mikulovice</w:t>
      </w:r>
      <w:r w:rsidRPr="00715AF8">
        <w:rPr>
          <w:rFonts w:eastAsia="Times New Roman" w:cs="Times New Roman"/>
          <w:b/>
          <w:color w:val="000000"/>
          <w:lang w:eastAsia="cs-CZ"/>
        </w:rPr>
        <w:t>“</w:t>
      </w:r>
      <w:r w:rsidR="00FF0DEB">
        <w:rPr>
          <w:rFonts w:eastAsia="Times New Roman" w:cs="Times New Roman"/>
          <w:b/>
          <w:color w:val="000000"/>
          <w:lang w:eastAsia="cs-CZ"/>
        </w:rPr>
        <w:t>,</w:t>
      </w:r>
    </w:p>
    <w:p w14:paraId="4E4A0990" w14:textId="13E5FD6D" w:rsidR="00715AF8" w:rsidRPr="00715AF8" w:rsidRDefault="003648AC" w:rsidP="0054622A">
      <w:pPr>
        <w:widowControl w:val="0"/>
        <w:autoSpaceDE w:val="0"/>
        <w:autoSpaceDN w:val="0"/>
        <w:spacing w:after="0" w:line="240" w:lineRule="auto"/>
        <w:ind w:left="284" w:hanging="284"/>
        <w:rPr>
          <w:rFonts w:eastAsia="Times New Roman" w:cs="Times New Roman"/>
          <w:b/>
          <w:color w:val="000000"/>
          <w:lang w:eastAsia="cs-CZ"/>
        </w:rPr>
      </w:pPr>
      <w:r>
        <w:rPr>
          <w:rFonts w:eastAsia="Times New Roman" w:cs="Times New Roman"/>
          <w:b/>
          <w:color w:val="000000"/>
          <w:lang w:eastAsia="cs-CZ"/>
        </w:rPr>
        <w:t>C:</w:t>
      </w:r>
      <w:r w:rsidR="00715AF8" w:rsidRPr="00715AF8">
        <w:rPr>
          <w:rFonts w:eastAsia="Times New Roman" w:cs="Times New Roman"/>
          <w:b/>
          <w:color w:val="000000"/>
          <w:lang w:eastAsia="cs-CZ"/>
        </w:rPr>
        <w:t xml:space="preserve"> „</w:t>
      </w:r>
      <w:r w:rsidRPr="003B2E8F">
        <w:rPr>
          <w:b/>
        </w:rPr>
        <w:t>Doplnění závor na PZS (P4393) v km 0,645 trati Mikulovice – Zlaté Hory</w:t>
      </w:r>
      <w:r w:rsidR="00715AF8" w:rsidRPr="00715AF8">
        <w:rPr>
          <w:rFonts w:eastAsia="Times New Roman" w:cs="Times New Roman"/>
          <w:b/>
          <w:color w:val="000000"/>
          <w:lang w:eastAsia="cs-CZ"/>
        </w:rPr>
        <w:t>“</w:t>
      </w:r>
      <w:r w:rsidR="00FF0DEB">
        <w:rPr>
          <w:rFonts w:eastAsia="Times New Roman" w:cs="Times New Roman"/>
          <w:b/>
          <w:color w:val="000000"/>
          <w:lang w:eastAsia="cs-CZ"/>
        </w:rPr>
        <w:t>,</w:t>
      </w:r>
    </w:p>
    <w:p w14:paraId="095DB16F" w14:textId="30A70AC5" w:rsidR="00715AF8" w:rsidRPr="00715AF8" w:rsidRDefault="003648AC" w:rsidP="00715AF8">
      <w:pPr>
        <w:widowControl w:val="0"/>
        <w:autoSpaceDE w:val="0"/>
        <w:autoSpaceDN w:val="0"/>
        <w:spacing w:after="0" w:line="240" w:lineRule="auto"/>
        <w:rPr>
          <w:rFonts w:eastAsia="Times New Roman" w:cs="Times New Roman"/>
          <w:b/>
          <w:color w:val="000000"/>
          <w:lang w:eastAsia="cs-CZ"/>
        </w:rPr>
      </w:pPr>
      <w:r>
        <w:rPr>
          <w:rFonts w:eastAsia="Times New Roman" w:cs="Times New Roman"/>
          <w:b/>
          <w:color w:val="000000"/>
          <w:lang w:eastAsia="cs-CZ"/>
        </w:rPr>
        <w:t>D:</w:t>
      </w:r>
      <w:r w:rsidR="00715AF8" w:rsidRPr="00715AF8">
        <w:rPr>
          <w:rFonts w:eastAsia="Times New Roman" w:cs="Times New Roman"/>
          <w:b/>
          <w:color w:val="000000"/>
          <w:lang w:eastAsia="cs-CZ"/>
        </w:rPr>
        <w:t xml:space="preserve"> „</w:t>
      </w:r>
      <w:r w:rsidRPr="003B2E8F">
        <w:rPr>
          <w:b/>
        </w:rPr>
        <w:t>Doplnění závor na PZS (P4406) v km 7,214 trati Mikulovice – Zlaté Hory</w:t>
      </w:r>
      <w:r w:rsidR="00715AF8" w:rsidRPr="00715AF8">
        <w:rPr>
          <w:rFonts w:eastAsia="Times New Roman" w:cs="Times New Roman"/>
          <w:b/>
          <w:color w:val="000000"/>
          <w:lang w:eastAsia="cs-CZ"/>
        </w:rPr>
        <w:t>“</w:t>
      </w:r>
      <w:r w:rsidR="00FF0DEB">
        <w:rPr>
          <w:rFonts w:eastAsia="Times New Roman" w:cs="Times New Roman"/>
          <w:b/>
          <w:color w:val="000000"/>
          <w:lang w:eastAsia="cs-CZ"/>
        </w:rPr>
        <w:t>,</w:t>
      </w:r>
    </w:p>
    <w:p w14:paraId="6A41FEB2" w14:textId="77777777" w:rsidR="00FF0DEB" w:rsidRPr="00715AF8" w:rsidRDefault="00FF0DEB" w:rsidP="003648AC">
      <w:pPr>
        <w:widowControl w:val="0"/>
        <w:autoSpaceDE w:val="0"/>
        <w:autoSpaceDN w:val="0"/>
        <w:spacing w:after="0" w:line="240" w:lineRule="auto"/>
        <w:rPr>
          <w:rFonts w:eastAsia="Times New Roman" w:cs="Times New Roman"/>
          <w:b/>
          <w:color w:val="000000"/>
          <w:lang w:eastAsia="cs-CZ"/>
        </w:rPr>
      </w:pPr>
      <w:r>
        <w:rPr>
          <w:rFonts w:eastAsia="Times New Roman" w:cs="Times New Roman"/>
          <w:b/>
          <w:color w:val="000000"/>
          <w:lang w:eastAsia="cs-CZ"/>
        </w:rPr>
        <w:t>BOZP</w:t>
      </w:r>
    </w:p>
    <w:p w14:paraId="00D4E90E" w14:textId="02F9328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3211C6" w:rsidRPr="003211C6">
        <w:rPr>
          <w:rFonts w:eastAsia="Times New Roman" w:cs="Arial"/>
          <w:lang w:eastAsia="cs-CZ"/>
        </w:rPr>
        <w:t>61721148</w:t>
      </w:r>
      <w:r w:rsidRPr="003211C6">
        <w:rPr>
          <w:rFonts w:eastAsia="Times New Roman" w:cs="Times New Roman"/>
          <w:lang w:eastAsia="cs-CZ"/>
        </w:rPr>
        <w:t>)</w:t>
      </w:r>
    </w:p>
    <w:p w14:paraId="02FD714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FEEF381" w14:textId="77777777" w:rsidR="001A6F12" w:rsidRPr="001A6F12" w:rsidRDefault="001A6F12" w:rsidP="001A6F12">
      <w:pPr>
        <w:spacing w:after="0" w:line="240" w:lineRule="auto"/>
        <w:ind w:right="23"/>
        <w:rPr>
          <w:rFonts w:eastAsia="Times New Roman" w:cs="Times New Roman"/>
          <w:lang w:eastAsia="cs-CZ"/>
        </w:rPr>
      </w:pPr>
    </w:p>
    <w:p w14:paraId="1D006AE0"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3410D7C9" w14:textId="77777777" w:rsidR="001A6F12" w:rsidRPr="001A6F12" w:rsidRDefault="001A6F12" w:rsidP="001A6F12">
      <w:pPr>
        <w:spacing w:after="0" w:line="240" w:lineRule="auto"/>
        <w:jc w:val="both"/>
        <w:rPr>
          <w:rFonts w:eastAsia="Times New Roman" w:cs="Times New Roman"/>
          <w:lang w:eastAsia="cs-CZ"/>
        </w:rPr>
      </w:pPr>
    </w:p>
    <w:p w14:paraId="05330DA5"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129F1B55" w14:textId="77777777" w:rsidR="00031A3E" w:rsidRPr="00031A3E" w:rsidRDefault="00031A3E" w:rsidP="00031A3E">
      <w:pPr>
        <w:spacing w:after="0" w:line="240" w:lineRule="auto"/>
        <w:jc w:val="both"/>
        <w:rPr>
          <w:rFonts w:eastAsia="Times New Roman" w:cs="Times New Roman"/>
          <w:lang w:eastAsia="cs-CZ"/>
        </w:rPr>
      </w:pPr>
    </w:p>
    <w:p w14:paraId="7CE83BA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74467E1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4F5F35C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129E166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14:paraId="55CDB5AC"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4FBF5BEE"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14:paraId="7B36882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761175E9"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16E56BB3" w14:textId="77777777" w:rsidR="00EC4859" w:rsidRPr="00031A3E" w:rsidRDefault="00EC4859" w:rsidP="00715AF8">
      <w:pPr>
        <w:spacing w:after="0" w:line="240" w:lineRule="auto"/>
        <w:jc w:val="both"/>
        <w:rPr>
          <w:rFonts w:eastAsia="Times New Roman" w:cs="Times New Roman"/>
          <w:lang w:eastAsia="cs-CZ"/>
        </w:rPr>
      </w:pPr>
    </w:p>
    <w:p w14:paraId="7A6175D6" w14:textId="77777777" w:rsidR="00031A3E" w:rsidRPr="00031A3E" w:rsidRDefault="00031A3E" w:rsidP="00031A3E">
      <w:pPr>
        <w:spacing w:after="0" w:line="240" w:lineRule="auto"/>
        <w:ind w:left="426"/>
        <w:jc w:val="both"/>
        <w:rPr>
          <w:rFonts w:eastAsia="Times New Roman" w:cs="Times New Roman"/>
          <w:lang w:eastAsia="cs-CZ"/>
        </w:rPr>
      </w:pPr>
    </w:p>
    <w:p w14:paraId="07F27B59"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7C72A852"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5B04B52" w14:textId="77777777" w:rsidR="00031A3E" w:rsidRPr="00031A3E" w:rsidRDefault="00031A3E" w:rsidP="00031A3E">
      <w:pPr>
        <w:spacing w:after="0" w:line="240" w:lineRule="auto"/>
        <w:ind w:left="426"/>
        <w:jc w:val="both"/>
        <w:rPr>
          <w:rFonts w:eastAsia="Times New Roman" w:cs="Times New Roman"/>
          <w:lang w:eastAsia="cs-CZ"/>
        </w:rPr>
      </w:pPr>
    </w:p>
    <w:p w14:paraId="67467A9A" w14:textId="2FDD3A4F" w:rsidR="00031A3E" w:rsidRPr="00031A3E" w:rsidRDefault="00931CA3" w:rsidP="00AA4966">
      <w:pPr>
        <w:spacing w:after="0" w:line="240" w:lineRule="auto"/>
        <w:ind w:left="426"/>
        <w:rPr>
          <w:rFonts w:eastAsia="Times New Roman" w:cs="Times New Roman"/>
          <w:lang w:eastAsia="cs-CZ"/>
        </w:rPr>
      </w:pPr>
      <w:r>
        <w:rPr>
          <w:rFonts w:eastAsia="Times New Roman" w:cs="Times New Roman"/>
          <w:b/>
          <w:u w:val="single"/>
          <w:lang w:eastAsia="cs-CZ"/>
        </w:rPr>
        <w:lastRenderedPageBreak/>
        <w:br/>
      </w:r>
      <w:r w:rsidR="00031A3E" w:rsidRPr="00031A3E">
        <w:rPr>
          <w:rFonts w:eastAsia="Times New Roman" w:cs="Times New Roman"/>
          <w:b/>
          <w:u w:val="single"/>
          <w:lang w:eastAsia="cs-CZ"/>
        </w:rPr>
        <w:t xml:space="preserve">Kontaktní osoba pro výběrové </w:t>
      </w:r>
      <w:r w:rsidR="00031A3E" w:rsidRPr="00715AF8">
        <w:rPr>
          <w:rFonts w:eastAsia="Times New Roman" w:cs="Times New Roman"/>
          <w:b/>
          <w:u w:val="single"/>
          <w:lang w:eastAsia="cs-CZ"/>
        </w:rPr>
        <w:t>řízení:</w:t>
      </w:r>
      <w:r w:rsidR="00031A3E" w:rsidRPr="00715AF8">
        <w:rPr>
          <w:rFonts w:eastAsia="Times New Roman" w:cs="Times New Roman"/>
          <w:lang w:eastAsia="cs-CZ"/>
        </w:rPr>
        <w:t xml:space="preserve"> </w:t>
      </w:r>
      <w:r w:rsidR="00031A3E" w:rsidRPr="00715AF8">
        <w:rPr>
          <w:rFonts w:eastAsia="Times New Roman" w:cs="Times New Roman"/>
          <w:lang w:eastAsia="cs-CZ"/>
        </w:rPr>
        <w:tab/>
      </w:r>
      <w:r w:rsidR="00AA4966" w:rsidRPr="00751371">
        <w:rPr>
          <w:rFonts w:eastAsia="Times New Roman" w:cs="Arial"/>
          <w:lang w:eastAsia="cs-CZ"/>
        </w:rPr>
        <w:t xml:space="preserve">Ing. Radomíra Rečková, telefon: 725 744 197, e-mail: </w:t>
      </w:r>
      <w:hyperlink r:id="rId11" w:history="1">
        <w:r w:rsidR="00AA4966" w:rsidRPr="00751371">
          <w:rPr>
            <w:rStyle w:val="Hypertextovodkaz"/>
            <w:rFonts w:eastAsia="Times New Roman" w:cs="Arial"/>
            <w:lang w:eastAsia="cs-CZ"/>
          </w:rPr>
          <w:t>Reckova@spravazeleznic.cz</w:t>
        </w:r>
      </w:hyperlink>
      <w:r w:rsidR="00AA4966" w:rsidRPr="00751371">
        <w:rPr>
          <w:rFonts w:eastAsia="Times New Roman" w:cs="Arial"/>
          <w:lang w:eastAsia="cs-CZ"/>
        </w:rPr>
        <w:t xml:space="preserve">, </w:t>
      </w:r>
      <w:r w:rsidR="00AA4966" w:rsidRPr="00751371">
        <w:rPr>
          <w:rFonts w:eastAsia="Times New Roman" w:cs="Arial"/>
          <w:u w:val="single"/>
          <w:lang w:eastAsia="cs-CZ"/>
        </w:rPr>
        <w:t>adresa:</w:t>
      </w:r>
      <w:r w:rsidR="00AA4966" w:rsidRPr="00751371">
        <w:rPr>
          <w:rFonts w:eastAsia="Times New Roman" w:cs="Arial"/>
          <w:lang w:eastAsia="cs-CZ"/>
        </w:rPr>
        <w:t xml:space="preserve"> Správa železnic, státní organizace, Stavební správa východ, Nerudova 1, 779 00 Olomouc</w:t>
      </w:r>
    </w:p>
    <w:p w14:paraId="15DA62C7" w14:textId="77777777" w:rsidR="00031A3E" w:rsidRPr="00031A3E" w:rsidRDefault="00031A3E" w:rsidP="00715AF8">
      <w:pPr>
        <w:spacing w:after="0" w:line="240" w:lineRule="auto"/>
        <w:jc w:val="both"/>
        <w:rPr>
          <w:rFonts w:eastAsia="Times New Roman" w:cs="Times New Roman"/>
          <w:lang w:eastAsia="cs-CZ"/>
        </w:rPr>
      </w:pPr>
    </w:p>
    <w:p w14:paraId="760C374B" w14:textId="77777777" w:rsidR="00031A3E" w:rsidRPr="00031A3E" w:rsidRDefault="00031A3E" w:rsidP="00031A3E">
      <w:pPr>
        <w:spacing w:after="0" w:line="240" w:lineRule="auto"/>
        <w:ind w:left="426"/>
        <w:jc w:val="both"/>
        <w:rPr>
          <w:rFonts w:eastAsia="Times New Roman" w:cs="Times New Roman"/>
          <w:lang w:eastAsia="cs-CZ"/>
        </w:rPr>
      </w:pPr>
    </w:p>
    <w:p w14:paraId="4DB231A1"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4826D13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1435221F" w14:textId="77777777" w:rsidR="00031A3E" w:rsidRPr="00031A3E" w:rsidRDefault="00031A3E" w:rsidP="00031A3E">
      <w:pPr>
        <w:spacing w:after="0" w:line="240" w:lineRule="auto"/>
        <w:ind w:left="426"/>
        <w:jc w:val="both"/>
        <w:rPr>
          <w:rFonts w:eastAsia="Times New Roman" w:cs="Times New Roman"/>
          <w:lang w:eastAsia="cs-CZ"/>
        </w:rPr>
      </w:pPr>
    </w:p>
    <w:p w14:paraId="556AAB65" w14:textId="0C3FA3EF"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AA4966">
        <w:rPr>
          <w:rFonts w:eastAsia="Times New Roman" w:cs="Arial"/>
          <w:b/>
          <w:lang w:eastAsia="cs-CZ"/>
        </w:rPr>
        <w:t>240 000</w:t>
      </w:r>
      <w:r w:rsidR="00814A4C" w:rsidRPr="00814A4C">
        <w:rPr>
          <w:rFonts w:eastAsia="Times New Roman" w:cs="Arial"/>
          <w:b/>
          <w:lang w:eastAsia="cs-CZ"/>
        </w:rPr>
        <w:t>,-</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783E1B01" w14:textId="77777777" w:rsidR="00031A3E" w:rsidRPr="00031A3E" w:rsidRDefault="00031A3E" w:rsidP="00031A3E">
      <w:pPr>
        <w:spacing w:after="0" w:line="240" w:lineRule="auto"/>
        <w:ind w:left="426"/>
        <w:jc w:val="both"/>
        <w:rPr>
          <w:rFonts w:eastAsia="Times New Roman" w:cs="Times New Roman"/>
          <w:lang w:eastAsia="cs-CZ"/>
        </w:rPr>
      </w:pPr>
    </w:p>
    <w:p w14:paraId="019EE2FD" w14:textId="218B313E" w:rsidR="00031A3E" w:rsidRPr="00031A3E" w:rsidRDefault="00031A3E" w:rsidP="00395A28">
      <w:pPr>
        <w:spacing w:after="0" w:line="240" w:lineRule="auto"/>
        <w:ind w:left="426"/>
        <w:jc w:val="both"/>
        <w:rPr>
          <w:rFonts w:eastAsia="Times New Roman" w:cs="Times New Roman"/>
          <w:lang w:eastAsia="cs-CZ"/>
        </w:rPr>
      </w:pPr>
      <w:r w:rsidRPr="00395A28">
        <w:rPr>
          <w:rFonts w:eastAsia="Times New Roman" w:cs="Times New Roman"/>
          <w:b/>
          <w:lang w:eastAsia="cs-CZ"/>
        </w:rPr>
        <w:t>Předmětem VZ</w:t>
      </w:r>
      <w:r w:rsidRPr="00395A28">
        <w:rPr>
          <w:rFonts w:eastAsia="Times New Roman" w:cs="Times New Roman"/>
          <w:lang w:eastAsia="cs-CZ"/>
        </w:rPr>
        <w:t xml:space="preserve"> je </w:t>
      </w:r>
      <w:r w:rsidRPr="00031A3E">
        <w:rPr>
          <w:rFonts w:eastAsia="Times New Roman" w:cs="Times New Roman"/>
          <w:lang w:eastAsia="cs-CZ"/>
        </w:rPr>
        <w:t xml:space="preserve">vypracování plánu bezpečnosti a ochrany zdraví při práci na staveništi a výkon činnosti koordinátora bezpečnosti a ochrany zdraví při práci na staveništi při přípravě a realizaci </w:t>
      </w:r>
      <w:r w:rsidR="00715AF8" w:rsidRPr="00715AF8">
        <w:rPr>
          <w:rFonts w:eastAsia="Times New Roman" w:cs="Times New Roman"/>
          <w:lang w:eastAsia="cs-CZ"/>
        </w:rPr>
        <w:t>souboru staveb</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395A28">
        <w:rPr>
          <w:rFonts w:eastAsia="Times New Roman" w:cs="Times New Roman"/>
          <w:lang w:eastAsia="cs-CZ"/>
        </w:rPr>
        <w:t xml:space="preserve"> </w:t>
      </w:r>
      <w:r w:rsidR="00395A28" w:rsidRPr="00395A28">
        <w:rPr>
          <w:rFonts w:eastAsia="Times New Roman" w:cs="Times New Roman"/>
          <w:b/>
          <w:lang w:eastAsia="cs-CZ"/>
        </w:rPr>
        <w:t>Soubor 4 staveb: A: „Doplnění závor na PZS (P4318) v km 43,491 TÚ Hanušovice – Mikulovice“, B: „Doplnění závor na PZS (P4325) v km 49,079 TÚ Hanušovice – Mikulovice“, C: „Doplnění závor na PZS (P4393) v km 0,645 trati Mikulovice – Zlaté Hory“, D: „Doplnění závor na PZS (P4406) v km 7,214 trati Mikulovice – Zlaté Hory“</w:t>
      </w:r>
      <w:r w:rsidR="00395A28">
        <w:rPr>
          <w:rFonts w:eastAsia="Times New Roman" w:cs="Times New Roman"/>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776AD7F" w14:textId="77777777" w:rsidR="00031A3E" w:rsidRPr="00031A3E" w:rsidRDefault="00031A3E" w:rsidP="00031A3E">
      <w:pPr>
        <w:spacing w:after="0" w:line="240" w:lineRule="auto"/>
        <w:ind w:left="426"/>
        <w:jc w:val="both"/>
        <w:rPr>
          <w:rFonts w:eastAsia="Times New Roman" w:cs="Times New Roman"/>
          <w:lang w:eastAsia="cs-CZ"/>
        </w:rPr>
      </w:pPr>
    </w:p>
    <w:p w14:paraId="2EEAB3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7CFD127F" w14:textId="77777777" w:rsidR="00031A3E" w:rsidRPr="00031A3E" w:rsidRDefault="00031A3E" w:rsidP="00031A3E">
      <w:pPr>
        <w:spacing w:after="0" w:line="240" w:lineRule="auto"/>
        <w:ind w:left="426"/>
        <w:jc w:val="both"/>
        <w:rPr>
          <w:rFonts w:eastAsia="Times New Roman" w:cs="Times New Roman"/>
          <w:lang w:eastAsia="cs-CZ"/>
        </w:rPr>
      </w:pPr>
    </w:p>
    <w:p w14:paraId="13BB99FC"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1F0F182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211EBEE7" w14:textId="77777777" w:rsidR="00031A3E" w:rsidRPr="00031A3E" w:rsidRDefault="00031A3E" w:rsidP="00031A3E">
      <w:pPr>
        <w:spacing w:after="0" w:line="240" w:lineRule="auto"/>
        <w:ind w:left="426"/>
        <w:jc w:val="both"/>
        <w:rPr>
          <w:rFonts w:eastAsia="Times New Roman" w:cs="Times New Roman"/>
          <w:lang w:eastAsia="cs-CZ"/>
        </w:rPr>
      </w:pPr>
    </w:p>
    <w:p w14:paraId="338E6DE0" w14:textId="56845DA7" w:rsidR="00422331" w:rsidRDefault="00031A3E" w:rsidP="00931CA3">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931CA3" w:rsidRPr="00931CA3">
        <w:rPr>
          <w:rFonts w:eastAsia="Times New Roman" w:cs="Times New Roman"/>
          <w:lang w:eastAsia="cs-CZ"/>
        </w:rPr>
        <w:t>8651/2021-SŽ-SSV-Ú3</w:t>
      </w:r>
      <w:r w:rsidRPr="00031A3E">
        <w:rPr>
          <w:rFonts w:eastAsia="Times New Roman" w:cs="Times New Roman"/>
          <w:lang w:eastAsia="cs-CZ"/>
        </w:rPr>
        <w:t xml:space="preserve"> ze dne </w:t>
      </w:r>
      <w:r w:rsidRPr="00931CA3">
        <w:rPr>
          <w:rFonts w:eastAsia="Times New Roman" w:cs="Times New Roman"/>
          <w:highlight w:val="green"/>
          <w:lang w:eastAsia="cs-CZ"/>
        </w:rPr>
        <w:t>[DOPLNÍ ZADAVATEL]</w:t>
      </w:r>
      <w:r w:rsidRPr="00931CA3">
        <w:rPr>
          <w:rFonts w:eastAsia="Times New Roman" w:cs="Times New Roman"/>
          <w:lang w:eastAsia="cs-CZ"/>
        </w:rPr>
        <w:t xml:space="preserve"> (dále jen “Výzva”), </w:t>
      </w:r>
    </w:p>
    <w:p w14:paraId="7A19E890" w14:textId="77777777" w:rsidR="00031A3E" w:rsidRPr="00422331" w:rsidRDefault="00031A3E" w:rsidP="00422331">
      <w:pPr>
        <w:numPr>
          <w:ilvl w:val="0"/>
          <w:numId w:val="8"/>
        </w:numPr>
        <w:spacing w:after="0" w:line="240" w:lineRule="auto"/>
        <w:ind w:left="709" w:hanging="283"/>
        <w:rPr>
          <w:rFonts w:eastAsia="Times New Roman" w:cs="Times New Roman"/>
          <w:lang w:eastAsia="cs-CZ"/>
        </w:rPr>
      </w:pPr>
      <w:r w:rsidRPr="00422331">
        <w:rPr>
          <w:rFonts w:eastAsia="Times New Roman" w:cs="Times New Roman"/>
          <w:lang w:eastAsia="cs-CZ"/>
        </w:rPr>
        <w:t xml:space="preserve">Závazný vzor Smlouvy o </w:t>
      </w:r>
      <w:r w:rsidR="00B6404D" w:rsidRPr="00422331">
        <w:rPr>
          <w:rFonts w:eastAsia="Times New Roman" w:cs="Times New Roman"/>
          <w:lang w:eastAsia="cs-CZ"/>
        </w:rPr>
        <w:t>dílo na výkon</w:t>
      </w:r>
      <w:r w:rsidRPr="00422331">
        <w:rPr>
          <w:rFonts w:eastAsia="Times New Roman" w:cs="Times New Roman"/>
          <w:lang w:eastAsia="cs-CZ"/>
        </w:rPr>
        <w:t xml:space="preserve"> činnosti koordinátora bezpečnosti a ochrany</w:t>
      </w:r>
      <w:r w:rsidR="00D927FE" w:rsidRPr="00422331">
        <w:rPr>
          <w:rFonts w:eastAsia="Times New Roman" w:cs="Times New Roman"/>
          <w:lang w:eastAsia="cs-CZ"/>
        </w:rPr>
        <w:t xml:space="preserve"> zdraví při práci na staveništi ve fázi přípravy a re</w:t>
      </w:r>
      <w:r w:rsidR="00422331" w:rsidRPr="00422331">
        <w:rPr>
          <w:rFonts w:eastAsia="Times New Roman" w:cs="Times New Roman"/>
          <w:lang w:eastAsia="cs-CZ"/>
        </w:rPr>
        <w:t>a</w:t>
      </w:r>
      <w:r w:rsidR="00D927FE" w:rsidRPr="00422331">
        <w:rPr>
          <w:rFonts w:eastAsia="Times New Roman" w:cs="Times New Roman"/>
          <w:lang w:eastAsia="cs-CZ"/>
        </w:rPr>
        <w:t>lizace</w:t>
      </w:r>
    </w:p>
    <w:p w14:paraId="4EFBD35F" w14:textId="57474E12" w:rsidR="00422331" w:rsidRPr="003C7DF1"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A: </w:t>
      </w:r>
      <w:r w:rsidR="00395A28" w:rsidRPr="00395A28">
        <w:rPr>
          <w:rFonts w:eastAsia="Times New Roman" w:cs="Times New Roman"/>
          <w:b/>
          <w:lang w:eastAsia="cs-CZ"/>
        </w:rPr>
        <w:t>„Doplnění závor na PZS (P4318) v km 43,491 TÚ Hanušovice – Mikulovice“</w:t>
      </w:r>
      <w:r>
        <w:rPr>
          <w:b/>
        </w:rPr>
        <w:t xml:space="preserve"> </w:t>
      </w:r>
      <w:r w:rsidRPr="003C7DF1">
        <w:t>zpracovatel Správa žele</w:t>
      </w:r>
      <w:r>
        <w:t xml:space="preserve">znic, státní organizace, datum </w:t>
      </w:r>
      <w:r w:rsidR="00110131" w:rsidRPr="00110131">
        <w:t>4. 11. 2020</w:t>
      </w:r>
      <w:r w:rsidRPr="003C7DF1">
        <w:t>.</w:t>
      </w:r>
    </w:p>
    <w:p w14:paraId="2DE8D57B" w14:textId="4BC89752" w:rsidR="00422331" w:rsidRPr="00E60017"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B: </w:t>
      </w:r>
      <w:r w:rsidRPr="00E60017">
        <w:rPr>
          <w:b/>
        </w:rPr>
        <w:t>„</w:t>
      </w:r>
      <w:r w:rsidR="00395A28" w:rsidRPr="00395A28">
        <w:rPr>
          <w:rFonts w:eastAsia="Times New Roman" w:cs="Times New Roman"/>
          <w:b/>
          <w:lang w:eastAsia="cs-CZ"/>
        </w:rPr>
        <w:t>B: „Doplnění závor na PZS (P4325) v km 49,079 TÚ Hanušovice – Mikulovice“</w:t>
      </w:r>
      <w:r>
        <w:rPr>
          <w:b/>
        </w:rPr>
        <w:t xml:space="preserve"> </w:t>
      </w:r>
      <w:r w:rsidRPr="00E60017">
        <w:t xml:space="preserve">zpracovatel Správa železnic, státní organizace, datum </w:t>
      </w:r>
      <w:r w:rsidR="00110131" w:rsidRPr="00110131">
        <w:t>14. 12. 2020</w:t>
      </w:r>
      <w:r w:rsidRPr="00E60017">
        <w:t>.</w:t>
      </w:r>
    </w:p>
    <w:p w14:paraId="58528DB9" w14:textId="022FA98D" w:rsidR="00422331" w:rsidRPr="00500E2F" w:rsidRDefault="00422331" w:rsidP="00500E2F">
      <w:pPr>
        <w:pStyle w:val="Odstavec1-1a"/>
        <w:numPr>
          <w:ilvl w:val="0"/>
          <w:numId w:val="8"/>
        </w:numPr>
        <w:ind w:left="709" w:hanging="283"/>
        <w:rPr>
          <w:rStyle w:val="Tun"/>
        </w:rPr>
      </w:pPr>
      <w:r w:rsidRPr="00C24F4B">
        <w:rPr>
          <w:rStyle w:val="Tun"/>
        </w:rPr>
        <w:t>Zjednodušená dokumentace ve „stádiu 2“</w:t>
      </w:r>
      <w:r>
        <w:rPr>
          <w:rStyle w:val="Tun"/>
        </w:rPr>
        <w:t xml:space="preserve"> Stavby C: </w:t>
      </w:r>
      <w:r w:rsidRPr="00110131">
        <w:rPr>
          <w:rStyle w:val="Tun"/>
        </w:rPr>
        <w:t>„</w:t>
      </w:r>
      <w:r w:rsidR="00395A28" w:rsidRPr="00110131">
        <w:rPr>
          <w:rStyle w:val="Tun"/>
        </w:rPr>
        <w:t>Doplnění závor na PZS (P4393) v km 0,645 trati Mikulovice – Zlaté Hory</w:t>
      </w:r>
      <w:r w:rsidRPr="00110131">
        <w:rPr>
          <w:rStyle w:val="Tun"/>
        </w:rPr>
        <w:t>“</w:t>
      </w:r>
      <w:r w:rsidRPr="00500E2F">
        <w:rPr>
          <w:rStyle w:val="Tun"/>
          <w:b w:val="0"/>
        </w:rPr>
        <w:t xml:space="preserve"> </w:t>
      </w:r>
      <w:r w:rsidRPr="00110131">
        <w:rPr>
          <w:rStyle w:val="Tun"/>
          <w:b w:val="0"/>
        </w:rPr>
        <w:t xml:space="preserve">zpracovatel Správa železnic, státní organizace, datum </w:t>
      </w:r>
      <w:r w:rsidR="00110131" w:rsidRPr="00110131">
        <w:t>4. 11. 2020</w:t>
      </w:r>
      <w:r w:rsidRPr="00110131">
        <w:rPr>
          <w:rStyle w:val="Tun"/>
          <w:b w:val="0"/>
        </w:rPr>
        <w:t>.</w:t>
      </w:r>
    </w:p>
    <w:p w14:paraId="7213DB54" w14:textId="02F9B0C7" w:rsidR="00422331" w:rsidRPr="00E60017" w:rsidRDefault="00422331" w:rsidP="00422331">
      <w:pPr>
        <w:pStyle w:val="Odstavec1-1a"/>
        <w:numPr>
          <w:ilvl w:val="0"/>
          <w:numId w:val="8"/>
        </w:numPr>
        <w:ind w:left="709" w:hanging="283"/>
      </w:pPr>
      <w:r w:rsidRPr="00C24F4B">
        <w:rPr>
          <w:rStyle w:val="Tun"/>
        </w:rPr>
        <w:t xml:space="preserve">Zjednodušená dokumentace ve „stádiu 2“ Stavby </w:t>
      </w:r>
      <w:r>
        <w:rPr>
          <w:rStyle w:val="Tun"/>
        </w:rPr>
        <w:t>D</w:t>
      </w:r>
      <w:r w:rsidRPr="00C24F4B">
        <w:rPr>
          <w:rStyle w:val="Tun"/>
        </w:rPr>
        <w:t>:</w:t>
      </w:r>
      <w:r>
        <w:rPr>
          <w:rStyle w:val="Tun"/>
        </w:rPr>
        <w:t xml:space="preserve"> </w:t>
      </w:r>
      <w:r w:rsidRPr="00E60017">
        <w:rPr>
          <w:b/>
        </w:rPr>
        <w:t>„</w:t>
      </w:r>
      <w:r w:rsidR="00395A28" w:rsidRPr="00395A28">
        <w:rPr>
          <w:b/>
        </w:rPr>
        <w:t>Doplnění závor na PZS (P4406) v km 7,214 trati Mikulovice – Zlaté Hory</w:t>
      </w:r>
      <w:r w:rsidRPr="00E60017">
        <w:rPr>
          <w:b/>
        </w:rPr>
        <w:t xml:space="preserve">“ </w:t>
      </w:r>
      <w:r w:rsidRPr="00E60017">
        <w:t>zpracovatel Správa žele</w:t>
      </w:r>
      <w:r>
        <w:t xml:space="preserve">znic, státní organizace, datum </w:t>
      </w:r>
      <w:r w:rsidR="00110131" w:rsidRPr="00110131">
        <w:t>4. 11. 2020</w:t>
      </w:r>
      <w:r w:rsidRPr="00E60017">
        <w:t>.</w:t>
      </w:r>
    </w:p>
    <w:p w14:paraId="66B34103" w14:textId="77777777" w:rsidR="00031A3E" w:rsidRPr="00031A3E" w:rsidRDefault="00031A3E" w:rsidP="00031A3E">
      <w:pPr>
        <w:spacing w:after="0" w:line="240" w:lineRule="auto"/>
        <w:ind w:left="426"/>
        <w:rPr>
          <w:rFonts w:eastAsia="Times New Roman" w:cs="Times New Roman"/>
          <w:lang w:eastAsia="cs-CZ"/>
        </w:rPr>
      </w:pPr>
    </w:p>
    <w:p w14:paraId="05D20B6D"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660D0752" w14:textId="3D08DED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r w:rsidR="00931CA3">
        <w:rPr>
          <w:rFonts w:eastAsia="Times New Roman" w:cs="Times New Roman"/>
          <w:lang w:eastAsia="cs-CZ"/>
        </w:rPr>
        <w:br/>
      </w:r>
      <w:r w:rsidR="00931CA3">
        <w:rPr>
          <w:rFonts w:eastAsia="Times New Roman" w:cs="Times New Roman"/>
          <w:lang w:eastAsia="cs-CZ"/>
        </w:rPr>
        <w:br/>
      </w:r>
    </w:p>
    <w:p w14:paraId="1CDED3DF" w14:textId="77777777" w:rsidR="00031A3E" w:rsidRPr="00031A3E" w:rsidRDefault="00031A3E" w:rsidP="00031A3E">
      <w:pPr>
        <w:spacing w:after="0" w:line="240" w:lineRule="auto"/>
        <w:ind w:left="426"/>
        <w:jc w:val="both"/>
        <w:rPr>
          <w:rFonts w:eastAsia="Times New Roman" w:cs="Times New Roman"/>
          <w:lang w:eastAsia="cs-CZ"/>
        </w:rPr>
      </w:pPr>
    </w:p>
    <w:p w14:paraId="2B72C7E3"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lastRenderedPageBreak/>
        <w:t>Vysvětlení, změny, doplnění zadávacích podmínek</w:t>
      </w:r>
    </w:p>
    <w:p w14:paraId="6D6B19F1" w14:textId="77777777" w:rsidR="00031A3E" w:rsidRPr="00031A3E" w:rsidRDefault="00031A3E" w:rsidP="00031A3E">
      <w:pPr>
        <w:spacing w:after="0" w:line="240" w:lineRule="auto"/>
        <w:ind w:left="426"/>
        <w:jc w:val="both"/>
        <w:rPr>
          <w:rFonts w:eastAsia="Times New Roman" w:cs="Times New Roman"/>
          <w:lang w:eastAsia="cs-CZ"/>
        </w:rPr>
      </w:pPr>
    </w:p>
    <w:p w14:paraId="40CF2185"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6545C59A"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0BAA06D"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52A95CA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6533699"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37526C7A"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70184A14"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6EDECAB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7412B1A7"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0C364D48"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1A3F6F24" w14:textId="77777777" w:rsidR="00031A3E" w:rsidRPr="00031A3E" w:rsidRDefault="00031A3E" w:rsidP="00031A3E">
      <w:pPr>
        <w:spacing w:after="0" w:line="240" w:lineRule="auto"/>
        <w:ind w:left="426"/>
        <w:rPr>
          <w:rFonts w:eastAsia="Times New Roman" w:cs="Times New Roman"/>
          <w:lang w:eastAsia="cs-CZ"/>
        </w:rPr>
      </w:pPr>
    </w:p>
    <w:p w14:paraId="0E978376"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659AEF00" w14:textId="77777777" w:rsidR="00031A3E" w:rsidRPr="00031A3E" w:rsidRDefault="00031A3E" w:rsidP="00031A3E">
      <w:pPr>
        <w:spacing w:after="0" w:line="240" w:lineRule="auto"/>
        <w:ind w:left="426"/>
        <w:jc w:val="both"/>
        <w:rPr>
          <w:rFonts w:eastAsia="Times New Roman" w:cs="Times New Roman"/>
          <w:b/>
          <w:lang w:eastAsia="cs-CZ"/>
        </w:rPr>
      </w:pPr>
    </w:p>
    <w:p w14:paraId="03CFC87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554B360E" w14:textId="77777777" w:rsidR="00031A3E" w:rsidRPr="00031A3E" w:rsidRDefault="00031A3E" w:rsidP="00031A3E">
      <w:pPr>
        <w:spacing w:after="0" w:line="240" w:lineRule="auto"/>
        <w:ind w:left="709" w:hanging="283"/>
        <w:jc w:val="both"/>
        <w:rPr>
          <w:rFonts w:eastAsia="Times New Roman" w:cs="Times New Roman"/>
          <w:lang w:eastAsia="cs-CZ"/>
        </w:rPr>
      </w:pPr>
    </w:p>
    <w:p w14:paraId="41659E56"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9B305C" w:rsidRPr="009B305C">
        <w:rPr>
          <w:rFonts w:eastAsia="Times New Roman" w:cs="Arial"/>
          <w:b/>
          <w:lang w:eastAsia="cs-CZ"/>
        </w:rPr>
        <w:t>14</w:t>
      </w:r>
      <w:r w:rsidRPr="009B305C">
        <w:rPr>
          <w:rFonts w:eastAsia="Times New Roman" w:cs="Times New Roman"/>
          <w:b/>
          <w:lang w:eastAsia="cs-CZ"/>
        </w:rPr>
        <w:t xml:space="preserve"> měsíců</w:t>
      </w:r>
      <w:r w:rsidRPr="00031A3E">
        <w:rPr>
          <w:rFonts w:eastAsia="Times New Roman" w:cs="Times New Roman"/>
          <w:lang w:eastAsia="cs-CZ"/>
        </w:rPr>
        <w:t xml:space="preserve"> ode dne zahájení.</w:t>
      </w:r>
    </w:p>
    <w:p w14:paraId="72782E9E" w14:textId="77777777" w:rsidR="00031A3E" w:rsidRPr="00031A3E" w:rsidRDefault="00031A3E" w:rsidP="00031A3E">
      <w:pPr>
        <w:spacing w:after="0" w:line="240" w:lineRule="auto"/>
        <w:ind w:left="709" w:hanging="283"/>
        <w:jc w:val="both"/>
        <w:rPr>
          <w:rFonts w:eastAsia="Times New Roman" w:cs="Times New Roman"/>
          <w:lang w:eastAsia="cs-CZ"/>
        </w:rPr>
      </w:pPr>
    </w:p>
    <w:p w14:paraId="07A15A6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9B305C" w:rsidRPr="009B305C">
        <w:rPr>
          <w:rFonts w:eastAsia="Times New Roman" w:cs="Arial"/>
          <w:b/>
          <w:lang w:eastAsia="cs-CZ"/>
        </w:rPr>
        <w:t>7</w:t>
      </w:r>
      <w:r w:rsidRPr="009B305C">
        <w:rPr>
          <w:rFonts w:eastAsia="Times New Roman" w:cs="Times New Roman"/>
          <w:b/>
          <w:lang w:eastAsia="cs-CZ"/>
        </w:rPr>
        <w:t xml:space="preserve"> měsíců</w:t>
      </w:r>
      <w:r w:rsidRPr="00031A3E">
        <w:rPr>
          <w:rFonts w:eastAsia="Times New Roman" w:cs="Times New Roman"/>
          <w:lang w:eastAsia="cs-CZ"/>
        </w:rPr>
        <w:t xml:space="preserve"> ode dne zahájení stavebních prací na předmětné stavbě, kdy je předpokládáno ukončení stavebních prací.</w:t>
      </w:r>
    </w:p>
    <w:p w14:paraId="54154C86" w14:textId="77777777" w:rsidR="00031A3E" w:rsidRPr="00031A3E" w:rsidRDefault="00031A3E" w:rsidP="00031A3E">
      <w:pPr>
        <w:spacing w:after="0" w:line="240" w:lineRule="auto"/>
        <w:ind w:left="426"/>
        <w:jc w:val="both"/>
        <w:rPr>
          <w:rFonts w:eastAsia="Times New Roman" w:cs="Times New Roman"/>
          <w:lang w:eastAsia="cs-CZ"/>
        </w:rPr>
      </w:pPr>
    </w:p>
    <w:p w14:paraId="502592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9403F4" w:rsidRPr="009B305C">
        <w:rPr>
          <w:rFonts w:eastAsia="Times New Roman" w:cs="Arial"/>
          <w:lang w:eastAsia="cs-CZ"/>
        </w:rPr>
        <w:t>Zjednodušené dokumentace</w:t>
      </w:r>
      <w:r w:rsidRPr="00031A3E">
        <w:rPr>
          <w:rFonts w:eastAsia="Times New Roman" w:cs="Times New Roman"/>
          <w:lang w:eastAsia="cs-CZ"/>
        </w:rPr>
        <w:t xml:space="preserve"> a příslušných veřejnoprávních povolení umístěno.</w:t>
      </w:r>
    </w:p>
    <w:p w14:paraId="4C67F4AB" w14:textId="77777777" w:rsidR="00031A3E" w:rsidRPr="00031A3E" w:rsidRDefault="00031A3E" w:rsidP="00031A3E">
      <w:pPr>
        <w:spacing w:after="0" w:line="240" w:lineRule="auto"/>
        <w:ind w:left="426"/>
        <w:jc w:val="both"/>
        <w:rPr>
          <w:rFonts w:eastAsia="Times New Roman" w:cs="Times New Roman"/>
          <w:lang w:eastAsia="cs-CZ"/>
        </w:rPr>
      </w:pPr>
    </w:p>
    <w:p w14:paraId="4B221B0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9B305C">
        <w:rPr>
          <w:rFonts w:eastAsia="Times New Roman" w:cs="Times New Roman"/>
          <w:lang w:eastAsia="cs-CZ"/>
        </w:rPr>
        <w:t>S</w:t>
      </w:r>
      <w:r w:rsidRPr="009B305C">
        <w:rPr>
          <w:rFonts w:eastAsia="Times New Roman" w:cs="Times New Roman"/>
          <w:lang w:eastAsia="cs-CZ"/>
        </w:rPr>
        <w:t xml:space="preserve">mlouvy ukončením výkonu činnosti koordinátora BOZP při přípravě stavby dle článku </w:t>
      </w:r>
      <w:r w:rsidR="007A5302" w:rsidRPr="009B305C">
        <w:rPr>
          <w:rFonts w:eastAsia="Times New Roman" w:cs="Times New Roman"/>
          <w:lang w:eastAsia="cs-CZ"/>
        </w:rPr>
        <w:t>4.2 Smlouvy</w:t>
      </w:r>
      <w:r w:rsidRPr="009B305C">
        <w:rPr>
          <w:rFonts w:eastAsia="Times New Roman" w:cs="Times New Roman"/>
          <w:lang w:eastAsia="cs-CZ"/>
        </w:rPr>
        <w:t>.</w:t>
      </w:r>
      <w:r w:rsidRPr="00031A3E">
        <w:rPr>
          <w:rFonts w:eastAsia="Times New Roman" w:cs="Times New Roman"/>
          <w:lang w:eastAsia="cs-CZ"/>
        </w:rPr>
        <w:t xml:space="preserve"> V takovém případě nebude </w:t>
      </w:r>
      <w:r w:rsidRPr="00931CA3">
        <w:rPr>
          <w:rFonts w:eastAsia="Times New Roman" w:cs="Times New Roman"/>
          <w:u w:val="single"/>
          <w:lang w:eastAsia="cs-CZ"/>
        </w:rPr>
        <w:t>ce</w:t>
      </w:r>
      <w:r w:rsidRPr="00031A3E">
        <w:rPr>
          <w:rFonts w:eastAsia="Times New Roman" w:cs="Times New Roman"/>
          <w:u w:val="single"/>
          <w:lang w:eastAsia="cs-CZ"/>
        </w:rPr>
        <w:t>na za výkon činnosti koordinátora BOZP při realizaci stavby účtována.</w:t>
      </w:r>
    </w:p>
    <w:p w14:paraId="76741D14" w14:textId="4DF405CC" w:rsidR="00031A3E" w:rsidRPr="00031A3E" w:rsidRDefault="00931CA3" w:rsidP="00031A3E">
      <w:pPr>
        <w:spacing w:after="0" w:line="240" w:lineRule="auto"/>
        <w:ind w:left="426"/>
        <w:jc w:val="both"/>
        <w:rPr>
          <w:rFonts w:eastAsia="Times New Roman" w:cs="Times New Roman"/>
          <w:lang w:eastAsia="cs-CZ"/>
        </w:rPr>
      </w:pPr>
      <w:r>
        <w:rPr>
          <w:rFonts w:eastAsia="Times New Roman" w:cs="Times New Roman"/>
          <w:lang w:eastAsia="cs-CZ"/>
        </w:rPr>
        <w:br/>
      </w:r>
      <w:r>
        <w:rPr>
          <w:rFonts w:eastAsia="Times New Roman" w:cs="Times New Roman"/>
          <w:lang w:eastAsia="cs-CZ"/>
        </w:rPr>
        <w:br/>
      </w:r>
    </w:p>
    <w:p w14:paraId="5F8C8F49"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lastRenderedPageBreak/>
        <w:t>Požadavky na kvalifikaci dodavatele:</w:t>
      </w:r>
    </w:p>
    <w:p w14:paraId="2E61C9A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7881AEE2" w14:textId="77777777" w:rsidR="00031A3E" w:rsidRPr="00031A3E" w:rsidRDefault="00031A3E" w:rsidP="00031A3E">
      <w:pPr>
        <w:spacing w:after="0" w:line="240" w:lineRule="auto"/>
        <w:ind w:left="426"/>
        <w:jc w:val="both"/>
        <w:rPr>
          <w:rFonts w:eastAsia="Times New Roman" w:cs="Times New Roman"/>
          <w:lang w:eastAsia="cs-CZ"/>
        </w:rPr>
      </w:pPr>
    </w:p>
    <w:p w14:paraId="221EFC2E"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19BD2FBA" w14:textId="77777777" w:rsidR="00031A3E" w:rsidRPr="00031A3E" w:rsidRDefault="00031A3E" w:rsidP="00031A3E">
      <w:pPr>
        <w:spacing w:after="0" w:line="240" w:lineRule="auto"/>
        <w:ind w:firstLine="426"/>
        <w:jc w:val="both"/>
        <w:rPr>
          <w:rFonts w:eastAsia="Times New Roman" w:cs="Times New Roman"/>
          <w:lang w:eastAsia="cs-CZ"/>
        </w:rPr>
      </w:pPr>
    </w:p>
    <w:p w14:paraId="09DCC332"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753919B8" w14:textId="77777777" w:rsidR="00031A3E" w:rsidRPr="00031A3E" w:rsidRDefault="00031A3E" w:rsidP="00031A3E">
      <w:pPr>
        <w:spacing w:after="0" w:line="240" w:lineRule="auto"/>
        <w:ind w:firstLine="426"/>
        <w:jc w:val="both"/>
        <w:rPr>
          <w:rFonts w:eastAsia="Times New Roman" w:cs="Times New Roman"/>
          <w:lang w:eastAsia="cs-CZ"/>
        </w:rPr>
      </w:pPr>
    </w:p>
    <w:p w14:paraId="2A9CAFC4"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80FB8DC"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6E33B4C6"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50AAFC8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AA59BFB"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E5DD216"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00517109" w14:textId="77777777" w:rsidR="00031A3E" w:rsidRPr="00031A3E" w:rsidRDefault="00031A3E" w:rsidP="00031A3E">
      <w:pPr>
        <w:spacing w:before="120" w:after="0" w:line="240" w:lineRule="auto"/>
        <w:ind w:left="425"/>
        <w:jc w:val="both"/>
        <w:rPr>
          <w:rFonts w:eastAsia="Times New Roman" w:cs="Times New Roman"/>
          <w:lang w:eastAsia="cs-CZ"/>
        </w:rPr>
      </w:pPr>
    </w:p>
    <w:p w14:paraId="4F6A0DFB" w14:textId="77777777" w:rsidR="00031A3E" w:rsidRPr="00031A3E" w:rsidRDefault="00031A3E" w:rsidP="00031A3E">
      <w:pPr>
        <w:spacing w:after="0" w:line="240" w:lineRule="auto"/>
        <w:ind w:firstLine="426"/>
        <w:jc w:val="both"/>
        <w:rPr>
          <w:rFonts w:eastAsia="Times New Roman" w:cs="Times New Roman"/>
          <w:lang w:eastAsia="cs-CZ"/>
        </w:rPr>
      </w:pPr>
    </w:p>
    <w:p w14:paraId="32A73A5E"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5476E464" w14:textId="77777777" w:rsidR="00031A3E" w:rsidRPr="00031A3E" w:rsidRDefault="00031A3E" w:rsidP="00031A3E">
      <w:pPr>
        <w:spacing w:after="0" w:line="240" w:lineRule="auto"/>
        <w:ind w:firstLine="426"/>
        <w:jc w:val="both"/>
        <w:rPr>
          <w:rFonts w:eastAsia="Times New Roman" w:cs="Times New Roman"/>
          <w:lang w:eastAsia="cs-CZ"/>
        </w:rPr>
      </w:pPr>
    </w:p>
    <w:p w14:paraId="7024ABAA"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49DA82B5" w14:textId="77777777" w:rsidR="00031A3E" w:rsidRPr="00031A3E" w:rsidRDefault="00031A3E" w:rsidP="00031A3E">
      <w:pPr>
        <w:spacing w:after="0" w:line="240" w:lineRule="auto"/>
        <w:ind w:left="425"/>
        <w:jc w:val="both"/>
        <w:rPr>
          <w:rFonts w:eastAsia="Times New Roman" w:cs="Times New Roman"/>
          <w:lang w:eastAsia="cs-CZ"/>
        </w:rPr>
      </w:pPr>
    </w:p>
    <w:p w14:paraId="5ED52D9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33432A3D"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32B82FF7"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5F14ED5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40E24846"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43FB7035"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lastRenderedPageBreak/>
        <w:t>Doklady dle bodu c) a d) musí být předloženy pro každou fyzickou osobu, která bude vykonávat činnost koordinátora BOZP jako fyzická osoba – podnikatel nebo jako zaměstnance dodavatele, který je právnickou osobou.</w:t>
      </w:r>
    </w:p>
    <w:p w14:paraId="200C85BC" w14:textId="77777777" w:rsidR="00031A3E" w:rsidRPr="00031A3E" w:rsidRDefault="00031A3E" w:rsidP="00031A3E">
      <w:pPr>
        <w:spacing w:after="0" w:line="240" w:lineRule="auto"/>
        <w:ind w:left="425"/>
        <w:jc w:val="both"/>
        <w:rPr>
          <w:rFonts w:eastAsia="Times New Roman" w:cs="Times New Roman"/>
          <w:lang w:eastAsia="cs-CZ"/>
        </w:rPr>
      </w:pPr>
    </w:p>
    <w:p w14:paraId="1B734707" w14:textId="77777777" w:rsidR="00031A3E" w:rsidRPr="00031A3E" w:rsidRDefault="00031A3E" w:rsidP="00031A3E">
      <w:pPr>
        <w:spacing w:after="0" w:line="240" w:lineRule="auto"/>
        <w:ind w:firstLine="426"/>
        <w:jc w:val="both"/>
        <w:rPr>
          <w:rFonts w:eastAsia="Times New Roman" w:cs="Times New Roman"/>
          <w:lang w:eastAsia="cs-CZ"/>
        </w:rPr>
      </w:pPr>
    </w:p>
    <w:p w14:paraId="3078A731"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1FB2DFDD"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2C42EBB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1E58A6F1" w14:textId="77777777" w:rsidR="00031A3E" w:rsidRPr="00031A3E" w:rsidRDefault="00031A3E" w:rsidP="00031A3E">
      <w:pPr>
        <w:spacing w:after="0" w:line="240" w:lineRule="auto"/>
        <w:ind w:left="426"/>
        <w:jc w:val="both"/>
        <w:rPr>
          <w:rFonts w:eastAsia="Times New Roman" w:cs="Times New Roman"/>
          <w:lang w:eastAsia="cs-CZ"/>
        </w:rPr>
      </w:pPr>
    </w:p>
    <w:p w14:paraId="4A092386" w14:textId="6375EF6C"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00E2F">
        <w:rPr>
          <w:rFonts w:eastAsia="Times New Roman" w:cs="Arial"/>
          <w:b/>
          <w:lang w:eastAsia="cs-CZ"/>
        </w:rPr>
        <w:t>2</w:t>
      </w:r>
      <w:r w:rsidR="009B305C" w:rsidRPr="009B305C">
        <w:rPr>
          <w:rFonts w:eastAsia="Times New Roman" w:cs="Arial"/>
          <w:b/>
          <w:lang w:eastAsia="cs-CZ"/>
        </w:rPr>
        <w:t>00 000</w:t>
      </w:r>
      <w:r w:rsidRPr="009B305C">
        <w:rPr>
          <w:rFonts w:eastAsia="Times New Roman" w:cs="Times New Roman"/>
          <w:b/>
          <w:color w:val="000000"/>
          <w:lang w:val="en-US" w:eastAsia="cs-CZ"/>
        </w:rPr>
        <w:t>,-</w:t>
      </w:r>
      <w:r w:rsidRPr="009B305C">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w:t>
      </w:r>
      <w:r w:rsidR="00500E2F">
        <w:rPr>
          <w:rFonts w:eastAsia="Times New Roman" w:cs="Times New Roman"/>
          <w:color w:val="000000"/>
          <w:lang w:eastAsia="cs-CZ"/>
        </w:rPr>
        <w:t xml:space="preserve">přitom musí mít hodnotu alespoň </w:t>
      </w:r>
      <w:r w:rsidR="00500E2F" w:rsidRPr="00500E2F">
        <w:rPr>
          <w:rFonts w:eastAsia="Times New Roman" w:cs="Times New Roman"/>
          <w:b/>
          <w:color w:val="000000"/>
          <w:lang w:eastAsia="cs-CZ"/>
        </w:rPr>
        <w:t>1</w:t>
      </w:r>
      <w:r w:rsidR="00C101EB" w:rsidRPr="00C101EB">
        <w:rPr>
          <w:rFonts w:eastAsia="Times New Roman" w:cs="Arial"/>
          <w:b/>
          <w:lang w:eastAsia="cs-CZ"/>
        </w:rPr>
        <w:t>00 000</w:t>
      </w:r>
      <w:r w:rsidRPr="00C101EB">
        <w:rPr>
          <w:rFonts w:eastAsia="Times New Roman" w:cs="Times New Roman"/>
          <w:b/>
          <w:color w:val="000000"/>
          <w:lang w:val="en-US" w:eastAsia="cs-CZ"/>
        </w:rPr>
        <w:t>,-</w:t>
      </w:r>
      <w:r w:rsidRPr="00C101EB">
        <w:rPr>
          <w:rFonts w:eastAsia="Times New Roman" w:cs="Times New Roman"/>
          <w:b/>
          <w:lang w:eastAsia="cs-CZ"/>
        </w:rPr>
        <w:t xml:space="preserve"> </w:t>
      </w:r>
      <w:r w:rsidRPr="00C101EB">
        <w:rPr>
          <w:rFonts w:eastAsia="Times New Roman" w:cs="Times New Roman"/>
          <w:b/>
          <w:color w:val="000000"/>
          <w:lang w:eastAsia="cs-CZ"/>
        </w:rPr>
        <w:t>Kč</w:t>
      </w:r>
      <w:r w:rsidRPr="00031A3E">
        <w:rPr>
          <w:rFonts w:eastAsia="Times New Roman" w:cs="Times New Roman"/>
          <w:color w:val="000000"/>
          <w:lang w:eastAsia="cs-CZ"/>
        </w:rPr>
        <w:t xml:space="preserve"> bez DPH (dále jen „významná služba“).</w:t>
      </w:r>
    </w:p>
    <w:p w14:paraId="5BA49974"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549FE5CF"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15401AE8"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754EE8D"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05080DE"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5B6CC932"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776F6970"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082CEB92"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E55F982"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351D648"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75964AC4"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21BF2D67"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3E3D9E10"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CE596E4"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EDA82D1"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FD96B89"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62FF37EA" w14:textId="77777777" w:rsidR="00031A3E" w:rsidRPr="00C101EB"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w:t>
      </w:r>
      <w:r w:rsidRPr="00C101EB">
        <w:rPr>
          <w:rFonts w:eastAsia="Times New Roman" w:cs="Times New Roman"/>
          <w:color w:val="000000"/>
          <w:lang w:eastAsia="cs-CZ"/>
        </w:rPr>
        <w:t xml:space="preserve">minimálně </w:t>
      </w:r>
      <w:r w:rsidR="00C101EB" w:rsidRPr="00C101EB">
        <w:rPr>
          <w:rFonts w:eastAsia="Times New Roman" w:cs="Times New Roman"/>
          <w:b/>
          <w:color w:val="000000"/>
          <w:lang w:eastAsia="cs-CZ"/>
        </w:rPr>
        <w:t>3</w:t>
      </w:r>
      <w:r w:rsidRPr="00C101EB">
        <w:rPr>
          <w:rFonts w:eastAsia="Times New Roman" w:cs="Times New Roman"/>
          <w:b/>
          <w:color w:val="000000"/>
          <w:lang w:eastAsia="cs-CZ"/>
        </w:rPr>
        <w:t xml:space="preserve"> roky</w:t>
      </w:r>
      <w:r w:rsidRPr="00C101EB">
        <w:rPr>
          <w:rFonts w:eastAsia="Times New Roman" w:cs="Times New Roman"/>
          <w:color w:val="000000"/>
          <w:lang w:eastAsia="cs-CZ"/>
        </w:rPr>
        <w:t>,</w:t>
      </w:r>
    </w:p>
    <w:p w14:paraId="74110158" w14:textId="77777777" w:rsidR="00031A3E" w:rsidRPr="00C101EB" w:rsidRDefault="00031A3E" w:rsidP="00031A3E">
      <w:pPr>
        <w:numPr>
          <w:ilvl w:val="0"/>
          <w:numId w:val="18"/>
        </w:numPr>
        <w:spacing w:after="0" w:line="240" w:lineRule="auto"/>
        <w:ind w:right="23"/>
        <w:jc w:val="both"/>
        <w:rPr>
          <w:rFonts w:eastAsia="Times New Roman" w:cs="Times New Roman"/>
          <w:color w:val="000000"/>
          <w:lang w:eastAsia="cs-CZ"/>
        </w:rPr>
      </w:pPr>
      <w:r w:rsidRPr="00C101E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C101EB" w:rsidRPr="00C101EB">
        <w:rPr>
          <w:rFonts w:eastAsia="Times New Roman" w:cs="Times New Roman"/>
          <w:b/>
          <w:color w:val="000000"/>
          <w:lang w:eastAsia="cs-CZ"/>
        </w:rPr>
        <w:t>3</w:t>
      </w:r>
      <w:r w:rsidRPr="00C101EB">
        <w:rPr>
          <w:rFonts w:eastAsia="Times New Roman" w:cs="Times New Roman"/>
          <w:color w:val="000000"/>
          <w:lang w:eastAsia="cs-CZ"/>
        </w:rPr>
        <w:t xml:space="preserve"> </w:t>
      </w:r>
      <w:r w:rsidRPr="00C101EB">
        <w:rPr>
          <w:rFonts w:eastAsia="Times New Roman" w:cs="Times New Roman"/>
          <w:b/>
          <w:color w:val="000000"/>
          <w:lang w:eastAsia="cs-CZ"/>
        </w:rPr>
        <w:t>rok</w:t>
      </w:r>
      <w:r w:rsidR="00C101EB" w:rsidRPr="00C101EB">
        <w:rPr>
          <w:rFonts w:eastAsia="Times New Roman" w:cs="Times New Roman"/>
          <w:b/>
          <w:color w:val="000000"/>
          <w:lang w:eastAsia="cs-CZ"/>
        </w:rPr>
        <w:t>y</w:t>
      </w:r>
      <w:r w:rsidRPr="00C101EB">
        <w:rPr>
          <w:rFonts w:eastAsia="Times New Roman" w:cs="Times New Roman"/>
          <w:color w:val="000000"/>
          <w:lang w:eastAsia="cs-CZ"/>
        </w:rPr>
        <w:t>;</w:t>
      </w:r>
    </w:p>
    <w:p w14:paraId="4B6D780A"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14:paraId="41A3073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26581B20"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lastRenderedPageBreak/>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1D156E2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A3055C4"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0B571A7F" w14:textId="77777777" w:rsidR="00031A3E" w:rsidRPr="00031A3E" w:rsidRDefault="00031A3E" w:rsidP="00031A3E">
      <w:pPr>
        <w:spacing w:after="0" w:line="240" w:lineRule="auto"/>
        <w:ind w:left="907"/>
        <w:jc w:val="both"/>
        <w:rPr>
          <w:rFonts w:eastAsia="Times New Roman" w:cs="Times New Roman"/>
          <w:lang w:eastAsia="cs-CZ"/>
        </w:rPr>
      </w:pPr>
    </w:p>
    <w:p w14:paraId="27A028E5" w14:textId="77777777" w:rsidR="00031A3E" w:rsidRPr="00031A3E" w:rsidRDefault="00031A3E" w:rsidP="00031A3E">
      <w:pPr>
        <w:spacing w:after="0" w:line="240" w:lineRule="auto"/>
        <w:ind w:left="907"/>
        <w:jc w:val="both"/>
        <w:rPr>
          <w:rFonts w:eastAsia="Times New Roman" w:cs="Times New Roman"/>
          <w:lang w:eastAsia="cs-CZ"/>
        </w:rPr>
      </w:pPr>
    </w:p>
    <w:p w14:paraId="464D99DB"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2A14370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4900AE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04FEB6A1"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3AB1043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3FCC2D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2CBD022"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5FFC5EE6"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FD18063"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w:t>
      </w:r>
      <w:r w:rsidRPr="00031A3E">
        <w:rPr>
          <w:rFonts w:eastAsia="Times New Roman" w:cs="Times New Roman"/>
          <w:lang w:eastAsia="cs-CZ"/>
        </w:rPr>
        <w:lastRenderedPageBreak/>
        <w:t>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33736D9" w14:textId="77777777" w:rsidR="00031A3E" w:rsidRPr="00031A3E" w:rsidRDefault="00031A3E" w:rsidP="00031A3E">
      <w:pPr>
        <w:spacing w:after="0" w:line="240" w:lineRule="auto"/>
        <w:ind w:left="426"/>
        <w:jc w:val="both"/>
        <w:rPr>
          <w:rFonts w:eastAsia="Times New Roman" w:cs="Times New Roman"/>
          <w:lang w:eastAsia="cs-CZ"/>
        </w:rPr>
      </w:pPr>
    </w:p>
    <w:p w14:paraId="083FF76E"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1903ED36"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46AFF79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67B99CC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6BFE74A"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B18E4CA"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250DEA3B"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21DFB2E6"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DDEF6C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DACEB63" w14:textId="77777777" w:rsidR="00031A3E" w:rsidRPr="00031A3E" w:rsidRDefault="00031A3E" w:rsidP="00031A3E">
      <w:pPr>
        <w:spacing w:before="120" w:after="0" w:line="240" w:lineRule="auto"/>
        <w:ind w:left="425"/>
        <w:jc w:val="both"/>
        <w:rPr>
          <w:rFonts w:eastAsia="Times New Roman" w:cs="Times New Roman"/>
          <w:lang w:eastAsia="cs-CZ"/>
        </w:rPr>
      </w:pPr>
    </w:p>
    <w:p w14:paraId="3DCEDAF4"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43B2A0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36B10647" w14:textId="77777777" w:rsidR="00031A3E" w:rsidRPr="00031A3E" w:rsidRDefault="00031A3E" w:rsidP="00031A3E">
      <w:pPr>
        <w:spacing w:after="0" w:line="240" w:lineRule="auto"/>
        <w:ind w:left="426"/>
        <w:jc w:val="both"/>
        <w:rPr>
          <w:rFonts w:eastAsia="Times New Roman" w:cs="Times New Roman"/>
          <w:lang w:eastAsia="cs-CZ"/>
        </w:rPr>
      </w:pPr>
    </w:p>
    <w:p w14:paraId="404AA94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C101EB">
        <w:rPr>
          <w:rFonts w:eastAsia="Times New Roman" w:cs="Times New Roman"/>
          <w:lang w:eastAsia="cs-CZ"/>
        </w:rPr>
        <w:t>3</w:t>
      </w:r>
      <w:r w:rsidRPr="00C101EB">
        <w:rPr>
          <w:rFonts w:eastAsia="Times New Roman" w:cs="Times New Roman"/>
          <w:lang w:eastAsia="cs-CZ"/>
        </w:rPr>
        <w:t>.1 závazného vzoru smlouvy.</w:t>
      </w:r>
    </w:p>
    <w:p w14:paraId="0B4E1B89" w14:textId="77777777" w:rsidR="00031A3E" w:rsidRPr="00031A3E" w:rsidRDefault="00031A3E" w:rsidP="00031A3E">
      <w:pPr>
        <w:spacing w:after="0" w:line="240" w:lineRule="auto"/>
        <w:ind w:left="426"/>
        <w:jc w:val="both"/>
        <w:rPr>
          <w:rFonts w:eastAsia="Times New Roman" w:cs="Times New Roman"/>
          <w:lang w:eastAsia="cs-CZ"/>
        </w:rPr>
      </w:pPr>
    </w:p>
    <w:p w14:paraId="4E831675"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16016F7B"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501E878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E41B7E2" w14:textId="77777777" w:rsidR="00031A3E" w:rsidRPr="00031A3E" w:rsidRDefault="00031A3E" w:rsidP="00031A3E">
      <w:pPr>
        <w:spacing w:after="0" w:line="240" w:lineRule="auto"/>
        <w:ind w:left="426"/>
        <w:jc w:val="both"/>
        <w:rPr>
          <w:rFonts w:eastAsia="Times New Roman" w:cs="Times New Roman"/>
          <w:lang w:eastAsia="cs-CZ"/>
        </w:rPr>
      </w:pPr>
    </w:p>
    <w:p w14:paraId="7A38264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57214F14" w14:textId="77777777" w:rsidR="00031A3E" w:rsidRPr="00031A3E" w:rsidRDefault="00031A3E" w:rsidP="00031A3E">
      <w:pPr>
        <w:spacing w:after="0" w:line="240" w:lineRule="auto"/>
        <w:ind w:left="426"/>
        <w:jc w:val="both"/>
        <w:rPr>
          <w:rFonts w:eastAsia="Times New Roman" w:cs="Times New Roman"/>
          <w:lang w:eastAsia="cs-CZ"/>
        </w:rPr>
      </w:pPr>
    </w:p>
    <w:p w14:paraId="33E391A7" w14:textId="77777777" w:rsidR="00031A3E" w:rsidRPr="00031A3E" w:rsidRDefault="00C101EB" w:rsidP="00031A3E">
      <w:pPr>
        <w:spacing w:after="0" w:line="240" w:lineRule="auto"/>
        <w:ind w:left="426"/>
        <w:jc w:val="both"/>
        <w:rPr>
          <w:rFonts w:eastAsia="Times New Roman" w:cs="Times New Roman"/>
          <w:b/>
          <w:i/>
          <w:color w:val="FF0000"/>
          <w:lang w:eastAsia="cs-CZ"/>
        </w:rPr>
      </w:pPr>
      <w:r w:rsidRPr="007D55A8">
        <w:rPr>
          <w:rFonts w:cs="Arial"/>
          <w:b/>
        </w:rPr>
        <w:t>Nabídky lze podat v termínu, který je uveden na profilu zadavatele:</w:t>
      </w:r>
      <w:r w:rsidRPr="007D55A8">
        <w:rPr>
          <w:rFonts w:cs="Arial"/>
        </w:rPr>
        <w:t xml:space="preserve"> </w:t>
      </w:r>
      <w:hyperlink r:id="rId14" w:history="1">
        <w:r w:rsidRPr="007D55A8">
          <w:rPr>
            <w:rStyle w:val="Hypertextovodkaz"/>
            <w:rFonts w:cs="Arial"/>
            <w:b/>
            <w:bCs/>
            <w:lang w:eastAsia="cs-CZ"/>
          </w:rPr>
          <w:t>https://zakazky.spravazeleznic.cz/</w:t>
        </w:r>
      </w:hyperlink>
      <w:r w:rsidRPr="007D55A8">
        <w:rPr>
          <w:rFonts w:cs="Arial"/>
          <w:b/>
        </w:rPr>
        <w:t>.</w:t>
      </w:r>
    </w:p>
    <w:p w14:paraId="3C576FE9" w14:textId="77777777" w:rsidR="00031A3E" w:rsidRPr="00031A3E" w:rsidRDefault="00031A3E" w:rsidP="00031A3E">
      <w:pPr>
        <w:spacing w:after="0" w:line="240" w:lineRule="auto"/>
        <w:ind w:left="426"/>
        <w:rPr>
          <w:rFonts w:eastAsia="Times New Roman" w:cs="Times New Roman"/>
          <w:i/>
          <w:color w:val="FF0000"/>
          <w:lang w:eastAsia="cs-CZ"/>
        </w:rPr>
      </w:pPr>
    </w:p>
    <w:p w14:paraId="016D18F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1643F22" w14:textId="77777777" w:rsidR="00031A3E" w:rsidRPr="00031A3E" w:rsidRDefault="00031A3E" w:rsidP="00031A3E">
      <w:pPr>
        <w:spacing w:after="0" w:line="240" w:lineRule="auto"/>
        <w:ind w:left="426"/>
        <w:rPr>
          <w:rFonts w:eastAsia="Times New Roman" w:cs="Times New Roman"/>
          <w:lang w:eastAsia="cs-CZ"/>
        </w:rPr>
      </w:pPr>
    </w:p>
    <w:p w14:paraId="0DD6CF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4D1E08C" w14:textId="77777777" w:rsidR="00031A3E" w:rsidRPr="00031A3E" w:rsidRDefault="00031A3E" w:rsidP="00031A3E">
      <w:pPr>
        <w:spacing w:after="0" w:line="240" w:lineRule="auto"/>
        <w:ind w:left="426"/>
        <w:rPr>
          <w:rFonts w:eastAsia="Times New Roman" w:cs="Times New Roman"/>
          <w:lang w:eastAsia="cs-CZ"/>
        </w:rPr>
      </w:pPr>
    </w:p>
    <w:p w14:paraId="029FFE88"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4EF44634" w14:textId="77777777" w:rsidR="00031A3E" w:rsidRPr="00031A3E" w:rsidRDefault="00031A3E" w:rsidP="00031A3E">
      <w:pPr>
        <w:spacing w:after="0" w:line="240" w:lineRule="auto"/>
        <w:rPr>
          <w:rFonts w:eastAsia="Times New Roman" w:cs="Times New Roman"/>
          <w:lang w:eastAsia="cs-CZ"/>
        </w:rPr>
      </w:pPr>
    </w:p>
    <w:p w14:paraId="0C360579" w14:textId="77777777" w:rsidR="00031A3E" w:rsidRPr="00031A3E" w:rsidRDefault="00031A3E" w:rsidP="00031A3E">
      <w:pPr>
        <w:spacing w:after="0" w:line="240" w:lineRule="auto"/>
        <w:rPr>
          <w:rFonts w:eastAsia="Times New Roman" w:cs="Times New Roman"/>
          <w:lang w:eastAsia="cs-CZ"/>
        </w:rPr>
      </w:pPr>
    </w:p>
    <w:p w14:paraId="0F7CAF81"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3D659259" w14:textId="77777777" w:rsidR="00031A3E" w:rsidRPr="00031A3E" w:rsidRDefault="00031A3E" w:rsidP="00031A3E">
      <w:pPr>
        <w:spacing w:after="0" w:line="240" w:lineRule="auto"/>
        <w:ind w:left="426"/>
        <w:jc w:val="both"/>
        <w:rPr>
          <w:rFonts w:eastAsia="Times New Roman" w:cs="Times New Roman"/>
          <w:lang w:eastAsia="cs-CZ"/>
        </w:rPr>
      </w:pPr>
    </w:p>
    <w:p w14:paraId="7CAC39C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76321C4D" w14:textId="77777777" w:rsidR="00031A3E" w:rsidRPr="00031A3E" w:rsidRDefault="00031A3E" w:rsidP="00031A3E">
      <w:pPr>
        <w:spacing w:after="0" w:line="240" w:lineRule="auto"/>
        <w:ind w:left="426"/>
        <w:jc w:val="both"/>
        <w:rPr>
          <w:rFonts w:eastAsia="Times New Roman" w:cs="Times New Roman"/>
          <w:lang w:eastAsia="cs-CZ"/>
        </w:rPr>
      </w:pPr>
      <w:bookmarkStart w:id="1" w:name="_Ref324339872"/>
    </w:p>
    <w:p w14:paraId="7B74A40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4C60D64" w14:textId="77777777" w:rsidR="00031A3E" w:rsidRPr="00031A3E" w:rsidRDefault="00031A3E" w:rsidP="00031A3E">
      <w:pPr>
        <w:spacing w:after="0" w:line="240" w:lineRule="auto"/>
        <w:ind w:left="426"/>
        <w:jc w:val="both"/>
        <w:rPr>
          <w:rFonts w:eastAsia="Times New Roman" w:cs="Times New Roman"/>
          <w:lang w:eastAsia="cs-CZ"/>
        </w:rPr>
      </w:pPr>
    </w:p>
    <w:p w14:paraId="7CFC959C" w14:textId="77777777" w:rsidR="00031A3E" w:rsidRPr="00031A3E" w:rsidRDefault="00031A3E" w:rsidP="00031A3E">
      <w:pPr>
        <w:spacing w:after="0" w:line="240" w:lineRule="auto"/>
        <w:ind w:left="426"/>
        <w:jc w:val="both"/>
        <w:rPr>
          <w:rFonts w:eastAsia="Times New Roman" w:cs="Times New Roman"/>
          <w:lang w:eastAsia="cs-CZ"/>
        </w:rPr>
      </w:pPr>
    </w:p>
    <w:p w14:paraId="01046B2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2190473C" w14:textId="77777777" w:rsidR="00031A3E" w:rsidRPr="00031A3E" w:rsidRDefault="00031A3E" w:rsidP="00031A3E">
      <w:pPr>
        <w:spacing w:after="0" w:line="240" w:lineRule="auto"/>
        <w:ind w:left="426"/>
        <w:jc w:val="both"/>
        <w:rPr>
          <w:rFonts w:eastAsia="Times New Roman" w:cs="Times New Roman"/>
          <w:u w:val="single"/>
          <w:lang w:eastAsia="cs-CZ"/>
        </w:rPr>
      </w:pPr>
    </w:p>
    <w:p w14:paraId="370990E1" w14:textId="77777777" w:rsidR="00031A3E" w:rsidRPr="00C101EB" w:rsidRDefault="00031A3E" w:rsidP="00031A3E">
      <w:pPr>
        <w:numPr>
          <w:ilvl w:val="0"/>
          <w:numId w:val="14"/>
        </w:numPr>
        <w:spacing w:after="0" w:line="240" w:lineRule="auto"/>
        <w:ind w:left="1134" w:hanging="425"/>
        <w:jc w:val="both"/>
        <w:rPr>
          <w:rFonts w:eastAsia="Times New Roman" w:cs="Times New Roman"/>
          <w:lang w:eastAsia="cs-CZ"/>
        </w:rPr>
      </w:pPr>
      <w:r w:rsidRPr="00C101EB">
        <w:rPr>
          <w:rFonts w:eastAsia="Times New Roman" w:cs="Times New Roman"/>
          <w:lang w:eastAsia="cs-CZ"/>
        </w:rPr>
        <w:t>všeobecné informace o dodavateli (příloha č. 1 Výzvy)</w:t>
      </w:r>
    </w:p>
    <w:p w14:paraId="0507E30B"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návrh smlouvy o dílo o výkonu činnosti koordinátora bezpečnosti a ochrany zdraví při práci na staveništi ve fázi přípravy realizace stavby,</w:t>
      </w:r>
    </w:p>
    <w:p w14:paraId="1A9DC9F5"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plná moc či pověření, je-li tohoto dokumentu třeba,</w:t>
      </w:r>
    </w:p>
    <w:p w14:paraId="32596EE2"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doklady o prokázání splnění základní způsobilosti (příloha č. 2 Výzvy),</w:t>
      </w:r>
    </w:p>
    <w:p w14:paraId="2BFF9464"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doklady o prokázání splnění profesní způsobilosti,</w:t>
      </w:r>
    </w:p>
    <w:p w14:paraId="06EC9454"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lastRenderedPageBreak/>
        <w:t>doklady o prokázání splnění technické kvalifikace,</w:t>
      </w:r>
    </w:p>
    <w:p w14:paraId="3D02FF61"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370C142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656E669F" w14:textId="77777777" w:rsidR="00031A3E" w:rsidRPr="00031A3E" w:rsidRDefault="00031A3E" w:rsidP="00031A3E">
      <w:pPr>
        <w:spacing w:after="0" w:line="240" w:lineRule="auto"/>
        <w:ind w:left="426"/>
        <w:jc w:val="both"/>
        <w:rPr>
          <w:rFonts w:eastAsia="Times New Roman" w:cs="Times New Roman"/>
          <w:lang w:eastAsia="cs-CZ"/>
        </w:rPr>
      </w:pPr>
    </w:p>
    <w:p w14:paraId="5763DA05" w14:textId="77777777" w:rsidR="00031A3E" w:rsidRPr="00031A3E" w:rsidRDefault="00031A3E" w:rsidP="00031A3E">
      <w:pPr>
        <w:spacing w:after="0" w:line="240" w:lineRule="auto"/>
        <w:ind w:left="426"/>
        <w:jc w:val="both"/>
        <w:rPr>
          <w:rFonts w:eastAsia="Times New Roman" w:cs="Times New Roman"/>
          <w:lang w:eastAsia="cs-CZ"/>
        </w:rPr>
      </w:pPr>
    </w:p>
    <w:p w14:paraId="2CAFE01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2357A65" w14:textId="77777777" w:rsidR="00031A3E" w:rsidRPr="00031A3E" w:rsidRDefault="00031A3E" w:rsidP="00031A3E">
      <w:pPr>
        <w:spacing w:after="0" w:line="240" w:lineRule="auto"/>
        <w:ind w:left="426"/>
        <w:jc w:val="both"/>
        <w:rPr>
          <w:rFonts w:eastAsia="Times New Roman" w:cs="Times New Roman"/>
          <w:lang w:eastAsia="cs-CZ"/>
        </w:rPr>
      </w:pPr>
    </w:p>
    <w:p w14:paraId="08A567E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C101EB">
        <w:rPr>
          <w:rFonts w:eastAsia="Calibri" w:cs="Times New Roman"/>
          <w:lang w:eastAsia="cs-CZ"/>
        </w:rPr>
        <w:t>v čl. 3</w:t>
      </w:r>
      <w:r w:rsidRPr="00C101EB">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4C90FD63"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155965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B750CC6" w14:textId="77777777" w:rsidR="00031A3E" w:rsidRPr="00031A3E" w:rsidRDefault="00031A3E" w:rsidP="00031A3E">
      <w:pPr>
        <w:spacing w:after="0" w:line="240" w:lineRule="auto"/>
        <w:ind w:left="426"/>
        <w:jc w:val="both"/>
        <w:rPr>
          <w:rFonts w:eastAsia="Times New Roman" w:cs="Times New Roman"/>
          <w:strike/>
          <w:lang w:eastAsia="cs-CZ"/>
        </w:rPr>
      </w:pPr>
    </w:p>
    <w:p w14:paraId="5477F64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930B0E1" w14:textId="77777777" w:rsidR="00031A3E" w:rsidRPr="00031A3E" w:rsidRDefault="00031A3E" w:rsidP="00031A3E">
      <w:pPr>
        <w:spacing w:after="0" w:line="240" w:lineRule="auto"/>
        <w:ind w:left="426"/>
        <w:jc w:val="both"/>
        <w:rPr>
          <w:rFonts w:eastAsia="Times New Roman" w:cs="Times New Roman"/>
          <w:strike/>
          <w:lang w:eastAsia="cs-CZ"/>
        </w:rPr>
      </w:pPr>
    </w:p>
    <w:p w14:paraId="7BFE777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6C39CDE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09CB6EB" w14:textId="77777777" w:rsidR="00031A3E" w:rsidRPr="00031A3E" w:rsidRDefault="00031A3E" w:rsidP="00031A3E">
      <w:pPr>
        <w:spacing w:after="0" w:line="240" w:lineRule="auto"/>
        <w:ind w:left="426"/>
        <w:jc w:val="both"/>
        <w:rPr>
          <w:rFonts w:eastAsia="Times New Roman" w:cs="Times New Roman"/>
          <w:lang w:eastAsia="cs-CZ"/>
        </w:rPr>
      </w:pPr>
    </w:p>
    <w:p w14:paraId="1721F81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D365B7A" w14:textId="77777777" w:rsidR="00031A3E" w:rsidRPr="00031A3E" w:rsidRDefault="00031A3E" w:rsidP="00031A3E">
      <w:pPr>
        <w:spacing w:after="0" w:line="240" w:lineRule="auto"/>
        <w:ind w:left="426"/>
        <w:jc w:val="both"/>
        <w:rPr>
          <w:rFonts w:eastAsia="Times New Roman" w:cs="Times New Roman"/>
          <w:lang w:eastAsia="cs-CZ"/>
        </w:rPr>
      </w:pPr>
    </w:p>
    <w:p w14:paraId="7960183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w:t>
      </w:r>
      <w:r w:rsidRPr="00031A3E">
        <w:rPr>
          <w:rFonts w:eastAsia="Times New Roman" w:cs="Times New Roman"/>
          <w:lang w:eastAsia="cs-CZ"/>
        </w:rPr>
        <w:lastRenderedPageBreak/>
        <w:t>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68EFE90" w14:textId="77777777" w:rsidR="00031A3E" w:rsidRPr="00031A3E" w:rsidRDefault="00031A3E" w:rsidP="00031A3E">
      <w:pPr>
        <w:spacing w:after="0" w:line="240" w:lineRule="auto"/>
        <w:rPr>
          <w:rFonts w:eastAsia="Times New Roman" w:cs="Times New Roman"/>
          <w:lang w:eastAsia="cs-CZ"/>
        </w:rPr>
      </w:pPr>
    </w:p>
    <w:p w14:paraId="66C8E275"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43A47DF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8824AC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97C3F9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E9F4DC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077BCAA" w14:textId="77777777" w:rsidR="00031A3E" w:rsidRPr="00031A3E" w:rsidRDefault="00031A3E" w:rsidP="00031A3E">
      <w:pPr>
        <w:spacing w:before="120" w:after="0" w:line="240" w:lineRule="auto"/>
        <w:ind w:left="426"/>
        <w:jc w:val="both"/>
        <w:rPr>
          <w:rFonts w:eastAsia="Times New Roman" w:cs="Times New Roman"/>
          <w:lang w:eastAsia="cs-CZ"/>
        </w:rPr>
      </w:pPr>
    </w:p>
    <w:p w14:paraId="5C8D726A"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396B303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02664E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BFAF752"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25EEDE1B"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57CB7910"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33F0510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5622B5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224F38E"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1EA077B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D1D54E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94E6527"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F8B5719"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9909F5"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5D1FFED4"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F7FEA8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5955ED67" w14:textId="77777777" w:rsidR="00031A3E" w:rsidRPr="00031A3E" w:rsidRDefault="00031A3E" w:rsidP="00031A3E">
      <w:pPr>
        <w:spacing w:before="120" w:after="0" w:line="240" w:lineRule="auto"/>
        <w:ind w:left="426"/>
        <w:jc w:val="both"/>
        <w:rPr>
          <w:rFonts w:eastAsia="Times New Roman" w:cs="Times New Roman"/>
          <w:lang w:eastAsia="cs-CZ"/>
        </w:rPr>
      </w:pPr>
    </w:p>
    <w:p w14:paraId="50815B8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0DA09B4B"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57232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90984A3" w14:textId="1056213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w:t>
      </w:r>
      <w:r w:rsidR="00C2767E">
        <w:rPr>
          <w:rFonts w:eastAsia="Times New Roman" w:cs="Times New Roman"/>
          <w:lang w:eastAsia="cs-CZ"/>
        </w:rPr>
        <w:t>,</w:t>
      </w:r>
      <w:r w:rsidRPr="00031A3E">
        <w:rPr>
          <w:rFonts w:eastAsia="Times New Roman" w:cs="Times New Roman"/>
          <w:lang w:eastAsia="cs-CZ"/>
        </w:rPr>
        <w:t xml:space="preserve">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2D325D5F" w14:textId="77777777" w:rsidR="00031A3E" w:rsidRPr="00031A3E" w:rsidRDefault="00031A3E" w:rsidP="00031A3E">
      <w:pPr>
        <w:spacing w:before="120" w:after="0" w:line="240" w:lineRule="auto"/>
        <w:ind w:left="426"/>
        <w:jc w:val="both"/>
        <w:rPr>
          <w:rFonts w:eastAsia="Times New Roman" w:cs="Times New Roman"/>
          <w:lang w:eastAsia="cs-CZ"/>
        </w:rPr>
      </w:pPr>
    </w:p>
    <w:p w14:paraId="0034DE88"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0749B2CB" w14:textId="465D0F76"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v souladu s nabídkou vybraného dodavatele a zadávacími podmínkami v podobě uvedené v závazném vzoru smlouvy o dílo včetně příloh. </w:t>
      </w:r>
    </w:p>
    <w:p w14:paraId="315CCFBE"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09A8481"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52DA274F"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622ED26"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54F0906A"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BE1028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722AF4F1"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7503C41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2C85F6ED"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A5EBCD6"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0F7F365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E53430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B3E29B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AD36611"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FF5525"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70724468"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6AB72D0F"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0488C37"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4A37E5CF"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5D780925"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6103AD33"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lastRenderedPageBreak/>
        <w:t>studentské exkurze.</w:t>
      </w:r>
    </w:p>
    <w:p w14:paraId="651878C8"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76DE8923"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524006EA"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D561AF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B548AE1" w14:textId="517F7D3E" w:rsidR="00C94497" w:rsidRDefault="00C94497" w:rsidP="00C94497">
      <w:pPr>
        <w:spacing w:after="0" w:line="240" w:lineRule="auto"/>
        <w:rPr>
          <w:rFonts w:eastAsia="Times New Roman" w:cs="Times New Roman"/>
          <w:b/>
          <w:bCs/>
          <w:lang w:eastAsia="cs-CZ"/>
        </w:rPr>
      </w:pPr>
    </w:p>
    <w:p w14:paraId="22F4A5F1" w14:textId="77777777" w:rsidR="004F468E" w:rsidRDefault="004F468E" w:rsidP="00C94497">
      <w:pPr>
        <w:spacing w:after="0" w:line="240" w:lineRule="auto"/>
        <w:rPr>
          <w:rFonts w:eastAsia="Times New Roman" w:cs="Times New Roman"/>
          <w:b/>
          <w:bCs/>
          <w:lang w:eastAsia="cs-CZ"/>
        </w:rPr>
      </w:pPr>
      <w:bookmarkStart w:id="2" w:name="_GoBack"/>
      <w:bookmarkEnd w:id="2"/>
    </w:p>
    <w:p w14:paraId="2560D958" w14:textId="77777777" w:rsidR="00C94497" w:rsidRDefault="00C94497" w:rsidP="00C94497">
      <w:pPr>
        <w:spacing w:after="0" w:line="240" w:lineRule="auto"/>
        <w:rPr>
          <w:rFonts w:eastAsia="Times New Roman" w:cs="Times New Roman"/>
          <w:b/>
          <w:bCs/>
          <w:lang w:eastAsia="cs-CZ"/>
        </w:rPr>
      </w:pPr>
    </w:p>
    <w:p w14:paraId="0F7EC556" w14:textId="77777777" w:rsidR="00C94497" w:rsidRDefault="00C94497" w:rsidP="00C94497">
      <w:pPr>
        <w:spacing w:after="0" w:line="240" w:lineRule="auto"/>
        <w:rPr>
          <w:rFonts w:eastAsia="Times New Roman" w:cs="Times New Roman"/>
          <w:b/>
          <w:bCs/>
          <w:lang w:eastAsia="cs-CZ"/>
        </w:rPr>
      </w:pPr>
    </w:p>
    <w:p w14:paraId="0D6528D8"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CDCAD93"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8FBC8B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E4F753D"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951627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23AC5F3" w14:textId="77777777" w:rsidR="001A6F12" w:rsidRPr="001A6F12" w:rsidRDefault="001A6F12" w:rsidP="001A6F12">
      <w:pPr>
        <w:spacing w:before="60" w:after="0" w:line="240" w:lineRule="exact"/>
        <w:rPr>
          <w:rFonts w:eastAsia="Times New Roman" w:cs="Calibri"/>
          <w:lang w:eastAsia="cs-CZ"/>
        </w:rPr>
      </w:pPr>
    </w:p>
    <w:p w14:paraId="23C8AB8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469595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8958D1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C536CF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078770D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2006AF3"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513E8B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7D442E6"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51739C9" w14:textId="0DF198DE"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72D22" w:rsidRPr="00D72D22">
        <w:rPr>
          <w:rFonts w:eastAsia="Times New Roman" w:cs="Times New Roman"/>
          <w:b/>
          <w:lang w:eastAsia="cs-CZ"/>
        </w:rPr>
        <w:t>Soubor 4 staveb: A: „Doplnění závor na PZS (P4318) v km 43,491 TÚ Hanušovice – Mikulovice“, B: „Doplnění závor na PZS (P4325) v km 49,079 TÚ Hanušovice – Mikulovice“, C: „Doplnění závor na PZS (P4393) v km 0,645 trati Mikulovice – Zlaté Hory“, D: „Doplnění závor na PZS (P4406) v km 7,214 trati Mikulovice – Zlaté Hory“</w:t>
      </w:r>
      <w:r w:rsidR="000F48A0">
        <w:rPr>
          <w:rFonts w:eastAsia="Times New Roman" w:cs="Times New Roman"/>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710B1C1" w14:textId="77777777" w:rsidR="005E5075" w:rsidRDefault="005E5075" w:rsidP="001A6F12">
      <w:pPr>
        <w:spacing w:before="240" w:after="0" w:line="240" w:lineRule="exact"/>
        <w:jc w:val="both"/>
        <w:rPr>
          <w:rFonts w:eastAsia="Times New Roman" w:cs="Arial"/>
          <w:lang w:eastAsia="cs-CZ"/>
        </w:rPr>
      </w:pPr>
    </w:p>
    <w:p w14:paraId="66801BDE" w14:textId="76281A4A"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D72D22" w:rsidRPr="00D72D22">
        <w:rPr>
          <w:rFonts w:eastAsia="Times New Roman" w:cs="Times New Roman"/>
          <w:b/>
          <w:lang w:eastAsia="cs-CZ"/>
        </w:rPr>
        <w:t>Soubor 4 staveb: A: „Doplnění závor na PZS (P4318) v km 43,491 TÚ Hanušovice – Mikulovice“, B: „Doplnění závor na PZS (P4325) v km 49,079 TÚ Hanušovice – Mikulovice“, C: „Doplnění závor na PZS (P4393) v km 0,645 trati Mikulovice – Zlaté Hory“, D: „Doplnění závor na PZS (P4406) v km 7,214 trati Mikulovice – Zlaté Hory“</w:t>
      </w:r>
      <w:r w:rsidR="000F48A0">
        <w:rPr>
          <w:rFonts w:eastAsia="Times New Roman" w:cs="Times New Roman"/>
          <w:b/>
          <w:lang w:eastAsia="cs-CZ"/>
        </w:rPr>
        <w:t>,</w:t>
      </w:r>
      <w:r w:rsidR="00D72D22">
        <w:rPr>
          <w:rFonts w:eastAsia="Times New Roman" w:cs="Times New Roman"/>
          <w:b/>
          <w:lang w:eastAsia="cs-CZ"/>
        </w:rPr>
        <w:t xml:space="preserve"> </w:t>
      </w:r>
      <w:r w:rsidR="000F48A0">
        <w:rPr>
          <w:rFonts w:eastAsia="Times New Roman" w:cs="Times New Roman"/>
          <w:b/>
          <w:lang w:eastAsia="cs-CZ"/>
        </w:rPr>
        <w:t>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D11827E" w14:textId="565EA925" w:rsidR="001A6F12" w:rsidRPr="00D72D22" w:rsidRDefault="005E5075" w:rsidP="00D72D22">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23C810D0" w14:textId="77777777" w:rsidR="001A6F12" w:rsidRPr="001A6F12" w:rsidRDefault="001A6F12" w:rsidP="001A6F12">
      <w:pPr>
        <w:spacing w:after="120" w:line="240" w:lineRule="auto"/>
        <w:ind w:left="283" w:firstLine="567"/>
        <w:rPr>
          <w:rFonts w:eastAsia="Times New Roman" w:cs="Calibri"/>
          <w:lang w:eastAsia="cs-CZ"/>
        </w:rPr>
      </w:pPr>
    </w:p>
    <w:p w14:paraId="4D39CAE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D2A3432" w14:textId="77777777" w:rsidR="001A6F12" w:rsidRPr="001A6F12" w:rsidRDefault="001A6F12" w:rsidP="001A6F12">
      <w:pPr>
        <w:spacing w:after="120" w:line="240" w:lineRule="auto"/>
        <w:ind w:left="283" w:firstLine="567"/>
        <w:rPr>
          <w:rFonts w:eastAsia="Times New Roman" w:cs="Calibri"/>
          <w:lang w:eastAsia="cs-CZ"/>
        </w:rPr>
      </w:pPr>
    </w:p>
    <w:p w14:paraId="17213D0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1300239" w14:textId="77777777" w:rsidR="001A6F12" w:rsidRPr="001A6F12" w:rsidRDefault="001A6F12" w:rsidP="001A6F12">
      <w:pPr>
        <w:spacing w:after="120" w:line="240" w:lineRule="auto"/>
        <w:ind w:left="283" w:firstLine="567"/>
        <w:rPr>
          <w:rFonts w:eastAsia="Times New Roman" w:cs="Calibri"/>
          <w:lang w:eastAsia="cs-CZ"/>
        </w:rPr>
      </w:pPr>
    </w:p>
    <w:p w14:paraId="59D231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5CC467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09598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CBD50A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11FD6B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8B7889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3FECD89" w14:textId="77777777" w:rsidR="001A6F12" w:rsidRPr="001A6F12" w:rsidRDefault="001A6F12" w:rsidP="001A6F12">
            <w:pPr>
              <w:spacing w:after="0" w:line="240" w:lineRule="auto"/>
              <w:ind w:firstLine="567"/>
              <w:rPr>
                <w:rFonts w:eastAsia="Times New Roman" w:cs="Calibri"/>
                <w:lang w:eastAsia="cs-CZ"/>
              </w:rPr>
            </w:pPr>
          </w:p>
        </w:tc>
      </w:tr>
    </w:tbl>
    <w:p w14:paraId="3D7CEB12" w14:textId="77777777" w:rsidR="001A6F12" w:rsidRPr="001A6F12" w:rsidRDefault="001A6F12" w:rsidP="001A6F12">
      <w:pPr>
        <w:spacing w:after="0" w:line="240" w:lineRule="auto"/>
        <w:jc w:val="center"/>
        <w:rPr>
          <w:rFonts w:eastAsia="Times New Roman" w:cs="Calibri"/>
          <w:b/>
          <w:bCs/>
          <w:caps/>
          <w:lang w:eastAsia="cs-CZ"/>
        </w:rPr>
      </w:pPr>
    </w:p>
    <w:p w14:paraId="7C52DB0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11AA219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6D6992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1BE796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34572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A4127D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0A3074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95A046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D67E1A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5495FC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AECE68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D55C06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DC43CE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C61A7A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968EEC1" w14:textId="77777777" w:rsidR="001A6F12" w:rsidRPr="001A6F12" w:rsidRDefault="001A6F12" w:rsidP="001A6F12">
      <w:pPr>
        <w:spacing w:after="0" w:line="240" w:lineRule="auto"/>
        <w:ind w:firstLine="567"/>
        <w:rPr>
          <w:rFonts w:eastAsia="Times New Roman" w:cs="Times New Roman"/>
          <w:lang w:eastAsia="cs-CZ"/>
        </w:rPr>
      </w:pPr>
    </w:p>
    <w:p w14:paraId="799C5A7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E46BCA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AC11D06" w14:textId="77777777" w:rsidR="001A6F12" w:rsidRPr="001A6F12" w:rsidRDefault="001A6F12" w:rsidP="001A6F12">
      <w:pPr>
        <w:spacing w:after="0" w:line="240" w:lineRule="auto"/>
        <w:ind w:firstLine="567"/>
        <w:rPr>
          <w:rFonts w:eastAsia="Times New Roman" w:cs="Times New Roman"/>
          <w:lang w:eastAsia="cs-CZ"/>
        </w:rPr>
      </w:pPr>
    </w:p>
    <w:p w14:paraId="5D8369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8C0336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801DE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F089EC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BFAA2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080BA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5866AE5" w14:textId="77777777" w:rsidR="001A6F12" w:rsidRPr="001A6F12" w:rsidRDefault="001A6F12" w:rsidP="001A6F12">
            <w:pPr>
              <w:spacing w:after="0" w:line="240" w:lineRule="auto"/>
              <w:ind w:firstLine="567"/>
              <w:rPr>
                <w:rFonts w:eastAsia="Times New Roman" w:cs="Calibri"/>
                <w:lang w:eastAsia="cs-CZ"/>
              </w:rPr>
            </w:pPr>
          </w:p>
        </w:tc>
      </w:tr>
    </w:tbl>
    <w:p w14:paraId="43F0A27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69850" w14:textId="77777777" w:rsidR="00982E5E" w:rsidRDefault="00982E5E">
      <w:pPr>
        <w:rPr>
          <w:rFonts w:eastAsia="Times New Roman" w:cs="Calibri"/>
          <w:b/>
          <w:bCs/>
          <w:lang w:eastAsia="cs-CZ"/>
        </w:rPr>
      </w:pPr>
      <w:r>
        <w:rPr>
          <w:rFonts w:eastAsia="Times New Roman" w:cs="Calibri"/>
          <w:b/>
          <w:bCs/>
          <w:lang w:eastAsia="cs-CZ"/>
        </w:rPr>
        <w:br w:type="page"/>
      </w:r>
    </w:p>
    <w:p w14:paraId="095DF50E"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48ED235"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C422EB5" w14:textId="77777777" w:rsidTr="00982E5E">
        <w:trPr>
          <w:cantSplit/>
        </w:trPr>
        <w:tc>
          <w:tcPr>
            <w:tcW w:w="2127" w:type="dxa"/>
          </w:tcPr>
          <w:p w14:paraId="2623227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CEE245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6F51A2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43F8863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304182C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3DDFF7A9" w14:textId="77777777" w:rsidTr="00982E5E">
        <w:trPr>
          <w:cantSplit/>
        </w:trPr>
        <w:tc>
          <w:tcPr>
            <w:tcW w:w="2127" w:type="dxa"/>
          </w:tcPr>
          <w:p w14:paraId="7206B49C"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064BC33B"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238D59F8"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0C14707"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11CE9968"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14AB5AE1" w14:textId="77777777" w:rsidTr="00982E5E">
        <w:trPr>
          <w:cantSplit/>
        </w:trPr>
        <w:tc>
          <w:tcPr>
            <w:tcW w:w="2127" w:type="dxa"/>
          </w:tcPr>
          <w:p w14:paraId="542CDB4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E63DD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DE45C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827CEB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A3314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2B6594C" w14:textId="77777777" w:rsidTr="00982E5E">
        <w:trPr>
          <w:cantSplit/>
        </w:trPr>
        <w:tc>
          <w:tcPr>
            <w:tcW w:w="2127" w:type="dxa"/>
          </w:tcPr>
          <w:p w14:paraId="0CCA1C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0C419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0670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81684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2F3EC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DD62BC5" w14:textId="77777777" w:rsidTr="00982E5E">
        <w:trPr>
          <w:cantSplit/>
        </w:trPr>
        <w:tc>
          <w:tcPr>
            <w:tcW w:w="2127" w:type="dxa"/>
          </w:tcPr>
          <w:p w14:paraId="388C92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3C9D83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178F4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550E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21F178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34C6F24" w14:textId="77777777" w:rsidTr="00982E5E">
        <w:trPr>
          <w:cantSplit/>
        </w:trPr>
        <w:tc>
          <w:tcPr>
            <w:tcW w:w="2127" w:type="dxa"/>
          </w:tcPr>
          <w:p w14:paraId="1C5A185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6457B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F85AA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5FDD6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101D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6F6621F" w14:textId="77777777" w:rsidTr="00982E5E">
        <w:trPr>
          <w:cantSplit/>
        </w:trPr>
        <w:tc>
          <w:tcPr>
            <w:tcW w:w="2127" w:type="dxa"/>
          </w:tcPr>
          <w:p w14:paraId="36509BE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D7904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BBA0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71658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F40E0A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4A47AB8" w14:textId="77777777" w:rsidTr="00982E5E">
        <w:trPr>
          <w:cantSplit/>
        </w:trPr>
        <w:tc>
          <w:tcPr>
            <w:tcW w:w="2127" w:type="dxa"/>
          </w:tcPr>
          <w:p w14:paraId="751F0CBC"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3388175"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9CB3467"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3A63786"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0AACDCE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36BA4F9" w14:textId="77777777" w:rsidTr="00982E5E">
        <w:trPr>
          <w:cantSplit/>
        </w:trPr>
        <w:tc>
          <w:tcPr>
            <w:tcW w:w="2127" w:type="dxa"/>
          </w:tcPr>
          <w:p w14:paraId="550499A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C88112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B0621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37E8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CECCC6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9AB1E81" w14:textId="77777777" w:rsidTr="00982E5E">
        <w:trPr>
          <w:cantSplit/>
        </w:trPr>
        <w:tc>
          <w:tcPr>
            <w:tcW w:w="2127" w:type="dxa"/>
          </w:tcPr>
          <w:p w14:paraId="33A4DE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04C32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CBF97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D144B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E915D0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31CEDE1" w14:textId="77777777" w:rsidTr="00982E5E">
        <w:trPr>
          <w:cantSplit/>
        </w:trPr>
        <w:tc>
          <w:tcPr>
            <w:tcW w:w="2127" w:type="dxa"/>
          </w:tcPr>
          <w:p w14:paraId="04BDF4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5906A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061D5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43D8B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2DE0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7CE73C" w14:textId="77777777" w:rsidTr="00982E5E">
        <w:trPr>
          <w:cantSplit/>
        </w:trPr>
        <w:tc>
          <w:tcPr>
            <w:tcW w:w="2127" w:type="dxa"/>
          </w:tcPr>
          <w:p w14:paraId="07DE8B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F96F73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D97C38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35F89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B8DFF0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0FBFDE23" w14:textId="77777777" w:rsidR="001A6F12" w:rsidRPr="001A6F12" w:rsidRDefault="001A6F12" w:rsidP="001A6F12">
      <w:pPr>
        <w:spacing w:after="0" w:line="240" w:lineRule="exact"/>
        <w:jc w:val="both"/>
        <w:rPr>
          <w:rFonts w:eastAsia="Times New Roman" w:cs="Calibri"/>
          <w:lang w:eastAsia="cs-CZ"/>
        </w:rPr>
      </w:pPr>
    </w:p>
    <w:p w14:paraId="4EB9A96C"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43A583BA" w14:textId="77777777" w:rsidR="001A6F12" w:rsidRPr="001A6F12" w:rsidRDefault="001A6F12" w:rsidP="001A6F12">
      <w:pPr>
        <w:spacing w:after="0" w:line="240" w:lineRule="exact"/>
        <w:jc w:val="both"/>
        <w:rPr>
          <w:rFonts w:eastAsia="Times New Roman" w:cs="Calibri"/>
          <w:b/>
          <w:lang w:eastAsia="cs-CZ"/>
        </w:rPr>
      </w:pPr>
    </w:p>
    <w:p w14:paraId="3FBB5B33"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11A68B32" w14:textId="77777777" w:rsidR="001A6F12" w:rsidRPr="001A6F12" w:rsidRDefault="001A6F12" w:rsidP="001A6F12">
      <w:pPr>
        <w:spacing w:after="0" w:line="240" w:lineRule="exact"/>
        <w:jc w:val="both"/>
        <w:rPr>
          <w:rFonts w:eastAsia="Times New Roman" w:cs="Calibri"/>
          <w:b/>
          <w:lang w:eastAsia="cs-CZ"/>
        </w:rPr>
      </w:pPr>
    </w:p>
    <w:p w14:paraId="3D36C492" w14:textId="77777777" w:rsidR="001A6F12" w:rsidRPr="001A6F12" w:rsidRDefault="001A6F12" w:rsidP="001A6F12">
      <w:pPr>
        <w:spacing w:after="0" w:line="240" w:lineRule="auto"/>
        <w:jc w:val="both"/>
        <w:rPr>
          <w:rFonts w:eastAsia="Times New Roman" w:cs="Calibri"/>
          <w:lang w:eastAsia="cs-CZ"/>
        </w:rPr>
      </w:pPr>
    </w:p>
    <w:p w14:paraId="791FF2D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9B4588E" w14:textId="77777777" w:rsidR="001A6F12" w:rsidRPr="001A6F12" w:rsidRDefault="001A6F12" w:rsidP="001A6F12">
      <w:pPr>
        <w:spacing w:after="0" w:line="240" w:lineRule="auto"/>
        <w:jc w:val="both"/>
        <w:rPr>
          <w:rFonts w:eastAsia="Times New Roman" w:cs="Calibri"/>
          <w:lang w:eastAsia="cs-CZ"/>
        </w:rPr>
      </w:pPr>
    </w:p>
    <w:p w14:paraId="76B624D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71C5414A" w14:textId="77777777" w:rsidTr="00126749">
        <w:trPr>
          <w:trHeight w:hRule="exact" w:val="567"/>
        </w:trPr>
        <w:tc>
          <w:tcPr>
            <w:tcW w:w="2268" w:type="dxa"/>
            <w:shd w:val="pct5" w:color="auto" w:fill="FFFFFF"/>
            <w:vAlign w:val="center"/>
          </w:tcPr>
          <w:p w14:paraId="44AF289D"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0EB5DBFD" w14:textId="77777777" w:rsidR="001A6F12" w:rsidRPr="001A6F12" w:rsidRDefault="001A6F12" w:rsidP="001A6F12">
            <w:pPr>
              <w:spacing w:after="0" w:line="240" w:lineRule="auto"/>
              <w:rPr>
                <w:rFonts w:eastAsia="Times New Roman" w:cs="Calibri"/>
                <w:lang w:eastAsia="cs-CZ"/>
              </w:rPr>
            </w:pPr>
          </w:p>
        </w:tc>
      </w:tr>
      <w:tr w:rsidR="001A6F12" w:rsidRPr="001A6F12" w14:paraId="6B7BB9F9" w14:textId="77777777" w:rsidTr="00126749">
        <w:trPr>
          <w:trHeight w:hRule="exact" w:val="567"/>
        </w:trPr>
        <w:tc>
          <w:tcPr>
            <w:tcW w:w="2268" w:type="dxa"/>
            <w:shd w:val="pct5" w:color="auto" w:fill="FFFFFF"/>
            <w:vAlign w:val="center"/>
          </w:tcPr>
          <w:p w14:paraId="37669F8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7703E52C" w14:textId="77777777" w:rsidR="001A6F12" w:rsidRPr="001A6F12" w:rsidRDefault="001A6F12" w:rsidP="001A6F12">
            <w:pPr>
              <w:spacing w:after="0" w:line="240" w:lineRule="auto"/>
              <w:rPr>
                <w:rFonts w:eastAsia="Times New Roman" w:cs="Calibri"/>
                <w:lang w:eastAsia="cs-CZ"/>
              </w:rPr>
            </w:pPr>
          </w:p>
        </w:tc>
      </w:tr>
    </w:tbl>
    <w:p w14:paraId="049A825E" w14:textId="77777777" w:rsidR="001A6F12" w:rsidRPr="001A6F12" w:rsidRDefault="001A6F12" w:rsidP="001A6F12">
      <w:pPr>
        <w:spacing w:after="0" w:line="240" w:lineRule="auto"/>
        <w:rPr>
          <w:rFonts w:eastAsia="Times New Roman" w:cs="Calibri"/>
          <w:lang w:eastAsia="cs-CZ"/>
        </w:rPr>
      </w:pPr>
    </w:p>
    <w:p w14:paraId="3687FBD5"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CA8C4" w14:textId="77777777" w:rsidR="00891334" w:rsidRDefault="00891334" w:rsidP="00962258">
      <w:pPr>
        <w:spacing w:after="0" w:line="240" w:lineRule="auto"/>
      </w:pPr>
      <w:r>
        <w:separator/>
      </w:r>
    </w:p>
  </w:endnote>
  <w:endnote w:type="continuationSeparator" w:id="0">
    <w:p w14:paraId="1537B64C"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24FC414" w14:textId="77777777" w:rsidTr="00D831A3">
      <w:tc>
        <w:tcPr>
          <w:tcW w:w="1361" w:type="dxa"/>
          <w:tcMar>
            <w:left w:w="0" w:type="dxa"/>
            <w:right w:w="0" w:type="dxa"/>
          </w:tcMar>
          <w:vAlign w:val="bottom"/>
        </w:tcPr>
        <w:p w14:paraId="78304D5C" w14:textId="1A079EE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68E">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468E">
            <w:rPr>
              <w:rStyle w:val="slostrnky"/>
              <w:noProof/>
            </w:rPr>
            <w:t>16</w:t>
          </w:r>
          <w:r w:rsidRPr="00B8518B">
            <w:rPr>
              <w:rStyle w:val="slostrnky"/>
            </w:rPr>
            <w:fldChar w:fldCharType="end"/>
          </w:r>
        </w:p>
      </w:tc>
      <w:tc>
        <w:tcPr>
          <w:tcW w:w="3458" w:type="dxa"/>
          <w:shd w:val="clear" w:color="auto" w:fill="auto"/>
          <w:tcMar>
            <w:left w:w="0" w:type="dxa"/>
            <w:right w:w="0" w:type="dxa"/>
          </w:tcMar>
        </w:tcPr>
        <w:p w14:paraId="7014AF37" w14:textId="77777777" w:rsidR="00F1715C" w:rsidRDefault="00F1715C" w:rsidP="00B8518B">
          <w:pPr>
            <w:pStyle w:val="Zpat"/>
          </w:pPr>
        </w:p>
      </w:tc>
      <w:tc>
        <w:tcPr>
          <w:tcW w:w="2835" w:type="dxa"/>
          <w:shd w:val="clear" w:color="auto" w:fill="auto"/>
          <w:tcMar>
            <w:left w:w="0" w:type="dxa"/>
            <w:right w:w="0" w:type="dxa"/>
          </w:tcMar>
        </w:tcPr>
        <w:p w14:paraId="6492C74A" w14:textId="77777777" w:rsidR="00F1715C" w:rsidRDefault="00F1715C" w:rsidP="00B8518B">
          <w:pPr>
            <w:pStyle w:val="Zpat"/>
          </w:pPr>
        </w:p>
      </w:tc>
      <w:tc>
        <w:tcPr>
          <w:tcW w:w="2921" w:type="dxa"/>
        </w:tcPr>
        <w:p w14:paraId="6DF45AE4" w14:textId="77777777" w:rsidR="00F1715C" w:rsidRDefault="00F1715C" w:rsidP="00D831A3">
          <w:pPr>
            <w:pStyle w:val="Zpat"/>
          </w:pPr>
        </w:p>
      </w:tc>
    </w:tr>
  </w:tbl>
  <w:p w14:paraId="592218C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F95BCD5" wp14:editId="0E7A1A5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106F8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D52133C" wp14:editId="50B8E08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102D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14:paraId="184245CF" w14:textId="77777777" w:rsidTr="00F1715C">
      <w:tc>
        <w:tcPr>
          <w:tcW w:w="1361" w:type="dxa"/>
          <w:tcMar>
            <w:left w:w="0" w:type="dxa"/>
            <w:right w:w="0" w:type="dxa"/>
          </w:tcMar>
          <w:vAlign w:val="bottom"/>
        </w:tcPr>
        <w:p w14:paraId="1D93304B" w14:textId="32B20DB1"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46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468E">
            <w:rPr>
              <w:rStyle w:val="slostrnky"/>
              <w:noProof/>
            </w:rPr>
            <w:t>16</w:t>
          </w:r>
          <w:r w:rsidRPr="00B8518B">
            <w:rPr>
              <w:rStyle w:val="slostrnky"/>
            </w:rPr>
            <w:fldChar w:fldCharType="end"/>
          </w:r>
        </w:p>
      </w:tc>
      <w:tc>
        <w:tcPr>
          <w:tcW w:w="3458" w:type="dxa"/>
          <w:shd w:val="clear" w:color="auto" w:fill="auto"/>
          <w:tcMar>
            <w:left w:w="0" w:type="dxa"/>
            <w:right w:w="0" w:type="dxa"/>
          </w:tcMar>
        </w:tcPr>
        <w:p w14:paraId="32B0800B" w14:textId="77777777" w:rsidR="00A211CB" w:rsidRDefault="00A211CB">
          <w:pPr>
            <w:pStyle w:val="Zpat"/>
          </w:pPr>
          <w:r>
            <w:t>Správa železnic, státní organizace</w:t>
          </w:r>
        </w:p>
        <w:p w14:paraId="382CF4D2" w14:textId="77777777"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14:paraId="2FB8F96D" w14:textId="77777777" w:rsidR="00A211CB" w:rsidRDefault="00A211CB">
          <w:pPr>
            <w:pStyle w:val="Zpat"/>
          </w:pPr>
          <w:r>
            <w:t>Sídlo: Dlážděná 1003/7, 110 00</w:t>
          </w:r>
          <w:r>
            <w:t> </w:t>
          </w:r>
          <w:r>
            <w:t>Praha 1</w:t>
          </w:r>
        </w:p>
        <w:p w14:paraId="66459BF8" w14:textId="77777777" w:rsidR="00A211CB" w:rsidRDefault="00A211CB">
          <w:pPr>
            <w:pStyle w:val="Zpat"/>
          </w:pPr>
          <w:r>
            <w:t>IČO: 709 94 234 DIČ: CZ 709 94 234</w:t>
          </w:r>
        </w:p>
        <w:p w14:paraId="177D5CFA" w14:textId="77777777" w:rsidR="00A211CB" w:rsidRDefault="00A211CB">
          <w:pPr>
            <w:pStyle w:val="Zpat"/>
          </w:pPr>
          <w:r>
            <w:t>www.</w:t>
          </w:r>
          <w:r w:rsidR="00DA104C">
            <w:t>spravazeleznic</w:t>
          </w:r>
          <w:r>
            <w:t>.cz</w:t>
          </w:r>
        </w:p>
      </w:tc>
      <w:tc>
        <w:tcPr>
          <w:tcW w:w="2921" w:type="dxa"/>
        </w:tcPr>
        <w:p w14:paraId="3F649B2B"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11A18AE1"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D598D6F"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6F93E843" w14:textId="77777777" w:rsidR="00A211CB" w:rsidRDefault="00A211CB">
          <w:pPr>
            <w:pStyle w:val="Zpat"/>
          </w:pPr>
        </w:p>
      </w:tc>
    </w:tr>
  </w:tbl>
  <w:p w14:paraId="417CC63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B2E3AAC" wp14:editId="678DD6A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EF913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76F9D34" wp14:editId="1FEEAF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86012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CD897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5A1DC" w14:textId="77777777" w:rsidR="00891334" w:rsidRDefault="00891334" w:rsidP="00962258">
      <w:pPr>
        <w:spacing w:after="0" w:line="240" w:lineRule="auto"/>
      </w:pPr>
      <w:r>
        <w:separator/>
      </w:r>
    </w:p>
  </w:footnote>
  <w:footnote w:type="continuationSeparator" w:id="0">
    <w:p w14:paraId="3DDE5945" w14:textId="77777777" w:rsidR="00891334" w:rsidRDefault="00891334" w:rsidP="00962258">
      <w:pPr>
        <w:spacing w:after="0" w:line="240" w:lineRule="auto"/>
      </w:pPr>
      <w:r>
        <w:continuationSeparator/>
      </w:r>
    </w:p>
  </w:footnote>
  <w:footnote w:id="1">
    <w:p w14:paraId="22BC8E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6B00BD7"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722D8E7" w14:textId="77777777" w:rsidTr="00C02D0A">
      <w:trPr>
        <w:trHeight w:hRule="exact" w:val="454"/>
      </w:trPr>
      <w:tc>
        <w:tcPr>
          <w:tcW w:w="1361" w:type="dxa"/>
          <w:tcMar>
            <w:top w:w="57" w:type="dxa"/>
            <w:left w:w="0" w:type="dxa"/>
            <w:right w:w="0" w:type="dxa"/>
          </w:tcMar>
        </w:tcPr>
        <w:p w14:paraId="19E363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379ED85" w14:textId="77777777" w:rsidR="00F1715C" w:rsidRDefault="00F1715C" w:rsidP="00523EA7">
          <w:pPr>
            <w:pStyle w:val="Zpat"/>
          </w:pPr>
        </w:p>
      </w:tc>
      <w:tc>
        <w:tcPr>
          <w:tcW w:w="5698" w:type="dxa"/>
          <w:shd w:val="clear" w:color="auto" w:fill="auto"/>
          <w:tcMar>
            <w:top w:w="57" w:type="dxa"/>
            <w:left w:w="0" w:type="dxa"/>
            <w:right w:w="0" w:type="dxa"/>
          </w:tcMar>
        </w:tcPr>
        <w:p w14:paraId="3799ECEC" w14:textId="77777777" w:rsidR="00F1715C" w:rsidRPr="00D6163D" w:rsidRDefault="00F1715C" w:rsidP="00D6163D">
          <w:pPr>
            <w:pStyle w:val="Druhdokumentu"/>
          </w:pPr>
        </w:p>
      </w:tc>
    </w:tr>
  </w:tbl>
  <w:p w14:paraId="7EE7CE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52CB068" w14:textId="77777777" w:rsidTr="00F1715C">
      <w:trPr>
        <w:trHeight w:hRule="exact" w:val="936"/>
      </w:trPr>
      <w:tc>
        <w:tcPr>
          <w:tcW w:w="1361" w:type="dxa"/>
          <w:tcMar>
            <w:left w:w="0" w:type="dxa"/>
            <w:right w:w="0" w:type="dxa"/>
          </w:tcMar>
        </w:tcPr>
        <w:p w14:paraId="764B4D0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F898A81" wp14:editId="3A93684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0961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1D674C2" w14:textId="77777777" w:rsidR="00F1715C" w:rsidRDefault="00F1715C" w:rsidP="00FC6389">
          <w:pPr>
            <w:pStyle w:val="Zpat"/>
          </w:pPr>
        </w:p>
      </w:tc>
      <w:tc>
        <w:tcPr>
          <w:tcW w:w="5698" w:type="dxa"/>
          <w:shd w:val="clear" w:color="auto" w:fill="auto"/>
          <w:tcMar>
            <w:left w:w="0" w:type="dxa"/>
            <w:right w:w="0" w:type="dxa"/>
          </w:tcMar>
        </w:tcPr>
        <w:p w14:paraId="5B4A1C4E" w14:textId="77777777" w:rsidR="00F1715C" w:rsidRPr="00D6163D" w:rsidRDefault="00F1715C" w:rsidP="00FC6389">
          <w:pPr>
            <w:pStyle w:val="Druhdokumentu"/>
          </w:pPr>
        </w:p>
      </w:tc>
    </w:tr>
    <w:tr w:rsidR="00F64786" w14:paraId="2CE05D06" w14:textId="77777777" w:rsidTr="00F64786">
      <w:trPr>
        <w:trHeight w:hRule="exact" w:val="452"/>
      </w:trPr>
      <w:tc>
        <w:tcPr>
          <w:tcW w:w="1361" w:type="dxa"/>
          <w:tcMar>
            <w:left w:w="0" w:type="dxa"/>
            <w:right w:w="0" w:type="dxa"/>
          </w:tcMar>
        </w:tcPr>
        <w:p w14:paraId="5E7857FA"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9D3F5A0" w14:textId="77777777" w:rsidR="00F64786" w:rsidRDefault="00F64786" w:rsidP="00FC6389">
          <w:pPr>
            <w:pStyle w:val="Zpat"/>
          </w:pPr>
        </w:p>
      </w:tc>
      <w:tc>
        <w:tcPr>
          <w:tcW w:w="5698" w:type="dxa"/>
          <w:shd w:val="clear" w:color="auto" w:fill="auto"/>
          <w:tcMar>
            <w:left w:w="0" w:type="dxa"/>
            <w:right w:w="0" w:type="dxa"/>
          </w:tcMar>
        </w:tcPr>
        <w:p w14:paraId="6382D2DD" w14:textId="77777777" w:rsidR="00F64786" w:rsidRDefault="00F64786" w:rsidP="00FC6389">
          <w:pPr>
            <w:pStyle w:val="Druhdokumentu"/>
            <w:rPr>
              <w:noProof/>
            </w:rPr>
          </w:pPr>
        </w:p>
      </w:tc>
    </w:tr>
  </w:tbl>
  <w:p w14:paraId="365D88DF"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4155253" wp14:editId="010419C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1916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155D1EFD" wp14:editId="307A9EE3">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5896B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E638A"/>
    <w:multiLevelType w:val="hybridMultilevel"/>
    <w:tmpl w:val="E54E9EA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695D7229"/>
    <w:multiLevelType w:val="hybridMultilevel"/>
    <w:tmpl w:val="6D92012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9"/>
  </w:num>
  <w:num w:numId="5">
    <w:abstractNumId w:val="0"/>
  </w:num>
  <w:num w:numId="6">
    <w:abstractNumId w:val="14"/>
  </w:num>
  <w:num w:numId="7">
    <w:abstractNumId w:val="10"/>
  </w:num>
  <w:num w:numId="8">
    <w:abstractNumId w:val="18"/>
  </w:num>
  <w:num w:numId="9">
    <w:abstractNumId w:val="20"/>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 w:numId="20">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7"/>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LockTheme/>
  <w:styleLockQFSet/>
  <w:defaultTabStop w:val="708"/>
  <w:hyphenationZone w:val="425"/>
  <w:doNotShadeFormData/>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1A3E"/>
    <w:rsid w:val="00033432"/>
    <w:rsid w:val="000335CC"/>
    <w:rsid w:val="000715D2"/>
    <w:rsid w:val="00072C1E"/>
    <w:rsid w:val="000B6C7E"/>
    <w:rsid w:val="000B7907"/>
    <w:rsid w:val="000C0429"/>
    <w:rsid w:val="000C45E8"/>
    <w:rsid w:val="000C7E81"/>
    <w:rsid w:val="000F48A0"/>
    <w:rsid w:val="00110131"/>
    <w:rsid w:val="00114472"/>
    <w:rsid w:val="00130F34"/>
    <w:rsid w:val="00170EC5"/>
    <w:rsid w:val="0017476E"/>
    <w:rsid w:val="001747C1"/>
    <w:rsid w:val="0018596A"/>
    <w:rsid w:val="001A6F12"/>
    <w:rsid w:val="001B69C2"/>
    <w:rsid w:val="001C4DA0"/>
    <w:rsid w:val="001C5203"/>
    <w:rsid w:val="001D7751"/>
    <w:rsid w:val="00207DF5"/>
    <w:rsid w:val="00267369"/>
    <w:rsid w:val="0026785D"/>
    <w:rsid w:val="002C31BF"/>
    <w:rsid w:val="002E0CD7"/>
    <w:rsid w:val="002F026B"/>
    <w:rsid w:val="003211C6"/>
    <w:rsid w:val="00357BC6"/>
    <w:rsid w:val="003648AC"/>
    <w:rsid w:val="0037111D"/>
    <w:rsid w:val="003956C6"/>
    <w:rsid w:val="00395A28"/>
    <w:rsid w:val="003E6B9A"/>
    <w:rsid w:val="003E75CE"/>
    <w:rsid w:val="0041380F"/>
    <w:rsid w:val="00422331"/>
    <w:rsid w:val="0044694F"/>
    <w:rsid w:val="00447D8B"/>
    <w:rsid w:val="00450F07"/>
    <w:rsid w:val="00453CD3"/>
    <w:rsid w:val="00455BC7"/>
    <w:rsid w:val="00460660"/>
    <w:rsid w:val="00460CCB"/>
    <w:rsid w:val="004703D0"/>
    <w:rsid w:val="00477370"/>
    <w:rsid w:val="00483F34"/>
    <w:rsid w:val="00486107"/>
    <w:rsid w:val="00491827"/>
    <w:rsid w:val="004926B0"/>
    <w:rsid w:val="004A392E"/>
    <w:rsid w:val="004A7C69"/>
    <w:rsid w:val="004C4399"/>
    <w:rsid w:val="004C69ED"/>
    <w:rsid w:val="004C787C"/>
    <w:rsid w:val="004F468E"/>
    <w:rsid w:val="004F4B9B"/>
    <w:rsid w:val="00500E2F"/>
    <w:rsid w:val="00501654"/>
    <w:rsid w:val="00511AB9"/>
    <w:rsid w:val="00523EA7"/>
    <w:rsid w:val="00542527"/>
    <w:rsid w:val="00544057"/>
    <w:rsid w:val="0054622A"/>
    <w:rsid w:val="00551D1F"/>
    <w:rsid w:val="00553375"/>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314D"/>
    <w:rsid w:val="006E7F06"/>
    <w:rsid w:val="006F5764"/>
    <w:rsid w:val="00710723"/>
    <w:rsid w:val="00715AF8"/>
    <w:rsid w:val="00723ED1"/>
    <w:rsid w:val="00735ED4"/>
    <w:rsid w:val="00743525"/>
    <w:rsid w:val="007531A0"/>
    <w:rsid w:val="0076286B"/>
    <w:rsid w:val="00764595"/>
    <w:rsid w:val="00766846"/>
    <w:rsid w:val="0077673A"/>
    <w:rsid w:val="007846E1"/>
    <w:rsid w:val="007A5302"/>
    <w:rsid w:val="007B570C"/>
    <w:rsid w:val="007E4A6E"/>
    <w:rsid w:val="007F56A7"/>
    <w:rsid w:val="00807DD0"/>
    <w:rsid w:val="00813F11"/>
    <w:rsid w:val="00814A4C"/>
    <w:rsid w:val="00866DB3"/>
    <w:rsid w:val="008765F0"/>
    <w:rsid w:val="00891334"/>
    <w:rsid w:val="008A3568"/>
    <w:rsid w:val="008D03B9"/>
    <w:rsid w:val="008F18D6"/>
    <w:rsid w:val="00904780"/>
    <w:rsid w:val="009113A8"/>
    <w:rsid w:val="00922385"/>
    <w:rsid w:val="009223DF"/>
    <w:rsid w:val="00931CA3"/>
    <w:rsid w:val="00936091"/>
    <w:rsid w:val="009403F4"/>
    <w:rsid w:val="00940D8A"/>
    <w:rsid w:val="00961716"/>
    <w:rsid w:val="00962258"/>
    <w:rsid w:val="009678B7"/>
    <w:rsid w:val="00982411"/>
    <w:rsid w:val="00982E5E"/>
    <w:rsid w:val="00992D9C"/>
    <w:rsid w:val="00996CB8"/>
    <w:rsid w:val="009A2392"/>
    <w:rsid w:val="009A7568"/>
    <w:rsid w:val="009B2E97"/>
    <w:rsid w:val="009B305C"/>
    <w:rsid w:val="009B72CC"/>
    <w:rsid w:val="009E07F4"/>
    <w:rsid w:val="009F392E"/>
    <w:rsid w:val="00A11738"/>
    <w:rsid w:val="00A16D3F"/>
    <w:rsid w:val="00A211CB"/>
    <w:rsid w:val="00A429AB"/>
    <w:rsid w:val="00A44328"/>
    <w:rsid w:val="00A6177B"/>
    <w:rsid w:val="00A66136"/>
    <w:rsid w:val="00AA4966"/>
    <w:rsid w:val="00AA4CBB"/>
    <w:rsid w:val="00AA65FA"/>
    <w:rsid w:val="00AA7351"/>
    <w:rsid w:val="00AD056F"/>
    <w:rsid w:val="00AD2773"/>
    <w:rsid w:val="00AD6731"/>
    <w:rsid w:val="00AE1DDE"/>
    <w:rsid w:val="00B11AE8"/>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101EB"/>
    <w:rsid w:val="00C2767E"/>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72D22"/>
    <w:rsid w:val="00D831A3"/>
    <w:rsid w:val="00D902AD"/>
    <w:rsid w:val="00D927FE"/>
    <w:rsid w:val="00DA104C"/>
    <w:rsid w:val="00DA6FFE"/>
    <w:rsid w:val="00DC3110"/>
    <w:rsid w:val="00DD46F3"/>
    <w:rsid w:val="00DD58A6"/>
    <w:rsid w:val="00DE56F2"/>
    <w:rsid w:val="00DF116D"/>
    <w:rsid w:val="00E21059"/>
    <w:rsid w:val="00E76190"/>
    <w:rsid w:val="00E824F1"/>
    <w:rsid w:val="00EB104F"/>
    <w:rsid w:val="00EC4859"/>
    <w:rsid w:val="00ED14BD"/>
    <w:rsid w:val="00F01440"/>
    <w:rsid w:val="00F07B92"/>
    <w:rsid w:val="00F12DEC"/>
    <w:rsid w:val="00F1715C"/>
    <w:rsid w:val="00F310F8"/>
    <w:rsid w:val="00F3205F"/>
    <w:rsid w:val="00F35939"/>
    <w:rsid w:val="00F45607"/>
    <w:rsid w:val="00F64786"/>
    <w:rsid w:val="00F659EB"/>
    <w:rsid w:val="00F804A7"/>
    <w:rsid w:val="00F862D6"/>
    <w:rsid w:val="00F86BA6"/>
    <w:rsid w:val="00FC6389"/>
    <w:rsid w:val="00FD2F51"/>
    <w:rsid w:val="00FE3455"/>
    <w:rsid w:val="00FF0DE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3CC908A"/>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Odstavec1-1a">
    <w:name w:val="_Odstavec_1-1_a)"/>
    <w:basedOn w:val="Normln"/>
    <w:link w:val="Odstavec1-1aChar"/>
    <w:qFormat/>
    <w:rsid w:val="00422331"/>
    <w:pPr>
      <w:numPr>
        <w:numId w:val="21"/>
      </w:numPr>
      <w:spacing w:after="80"/>
      <w:jc w:val="both"/>
    </w:pPr>
    <w:rPr>
      <w:rFonts w:ascii="Verdana" w:hAnsi="Verdana"/>
    </w:rPr>
  </w:style>
  <w:style w:type="paragraph" w:customStyle="1" w:styleId="Odstavec1-2i">
    <w:name w:val="_Odstavec_1-2_(i)"/>
    <w:basedOn w:val="Odstavec1-1a"/>
    <w:qFormat/>
    <w:rsid w:val="00422331"/>
    <w:pPr>
      <w:numPr>
        <w:ilvl w:val="1"/>
      </w:numPr>
      <w:tabs>
        <w:tab w:val="clear" w:pos="1531"/>
        <w:tab w:val="num" w:pos="360"/>
      </w:tabs>
    </w:pPr>
  </w:style>
  <w:style w:type="paragraph" w:customStyle="1" w:styleId="Odstavec1-31">
    <w:name w:val="_Odstavec_1-3_1)"/>
    <w:basedOn w:val="Odstavec1-2i"/>
    <w:qFormat/>
    <w:rsid w:val="00422331"/>
    <w:pPr>
      <w:numPr>
        <w:ilvl w:val="2"/>
      </w:numPr>
      <w:tabs>
        <w:tab w:val="clear" w:pos="1928"/>
        <w:tab w:val="num" w:pos="360"/>
      </w:tabs>
    </w:pPr>
  </w:style>
  <w:style w:type="character" w:customStyle="1" w:styleId="Tun">
    <w:name w:val="_Tučně"/>
    <w:basedOn w:val="Standardnpsmoodstavce"/>
    <w:qFormat/>
    <w:rsid w:val="00422331"/>
    <w:rPr>
      <w:b/>
    </w:rPr>
  </w:style>
  <w:style w:type="character" w:customStyle="1" w:styleId="Odstavec1-1aChar">
    <w:name w:val="_Odstavec_1-1_a) Char"/>
    <w:basedOn w:val="Standardnpsmoodstavce"/>
    <w:link w:val="Odstavec1-1a"/>
    <w:rsid w:val="00422331"/>
    <w:rPr>
      <w:rFonts w:ascii="Verdana" w:hAnsi="Verdana"/>
    </w:rPr>
  </w:style>
  <w:style w:type="paragraph" w:customStyle="1" w:styleId="Odstavec1-41">
    <w:name w:val="_Odstavec_1-4_1."/>
    <w:basedOn w:val="Odstavec1-1a"/>
    <w:qFormat/>
    <w:rsid w:val="00422331"/>
    <w:pPr>
      <w:numPr>
        <w:ilvl w:val="3"/>
      </w:numPr>
      <w:tabs>
        <w:tab w:val="clear" w:pos="2041"/>
        <w:tab w:val="num" w:pos="360"/>
      </w:tabs>
    </w:pPr>
  </w:style>
  <w:style w:type="paragraph" w:styleId="Pedmtkomente">
    <w:name w:val="annotation subject"/>
    <w:basedOn w:val="Textkomente"/>
    <w:next w:val="Textkomente"/>
    <w:link w:val="PedmtkomenteChar"/>
    <w:uiPriority w:val="99"/>
    <w:semiHidden/>
    <w:unhideWhenUsed/>
    <w:rsid w:val="001C5203"/>
    <w:rPr>
      <w:b/>
      <w:bCs/>
    </w:rPr>
  </w:style>
  <w:style w:type="character" w:customStyle="1" w:styleId="PedmtkomenteChar">
    <w:name w:val="Předmět komentáře Char"/>
    <w:basedOn w:val="TextkomenteChar"/>
    <w:link w:val="Pedmtkomente"/>
    <w:uiPriority w:val="99"/>
    <w:semiHidden/>
    <w:rsid w:val="001C5203"/>
    <w:rPr>
      <w:b/>
      <w:bCs/>
      <w:sz w:val="20"/>
      <w:szCs w:val="20"/>
    </w:rPr>
  </w:style>
  <w:style w:type="paragraph" w:customStyle="1" w:styleId="Textbezslovn">
    <w:name w:val="_Text_bez_číslování"/>
    <w:basedOn w:val="Normln"/>
    <w:link w:val="TextbezslovnChar"/>
    <w:qFormat/>
    <w:rsid w:val="00395A28"/>
    <w:pPr>
      <w:spacing w:after="120"/>
      <w:ind w:left="737"/>
      <w:jc w:val="both"/>
    </w:pPr>
  </w:style>
  <w:style w:type="character" w:customStyle="1" w:styleId="TextbezslovnChar">
    <w:name w:val="_Text_bez_číslování Char"/>
    <w:basedOn w:val="Standardnpsmoodstavce"/>
    <w:link w:val="Textbezslovn"/>
    <w:rsid w:val="00395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9B91535-9E3C-41E8-A728-18CADBA9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204</TotalTime>
  <Pages>16</Pages>
  <Words>7310</Words>
  <Characters>43129</Characters>
  <Application>Microsoft Office Word</Application>
  <DocSecurity>0</DocSecurity>
  <Lines>359</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32</cp:revision>
  <cp:lastPrinted>2019-02-22T13:28:00Z</cp:lastPrinted>
  <dcterms:created xsi:type="dcterms:W3CDTF">2020-01-27T11:11:00Z</dcterms:created>
  <dcterms:modified xsi:type="dcterms:W3CDTF">2021-05-31T09:58:00Z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